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sz w:val="32"/>
          <w:szCs w:val="32"/>
        </w:rPr>
        <w:t xml:space="preserve"> </w:t>
      </w: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采购标的对应的中小企业划分标准所属行业：</w:t>
      </w:r>
      <w:r>
        <w:rPr>
          <w:rFonts w:hint="eastAsia" w:ascii="宋体" w:hAnsi="宋体" w:cs="宋体"/>
          <w:kern w:val="0"/>
          <w:sz w:val="21"/>
          <w:szCs w:val="21"/>
        </w:rPr>
        <w:t>工业。</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中小企业划型标准：</w:t>
      </w:r>
      <w:r>
        <w:rPr>
          <w:rFonts w:hint="eastAsia" w:ascii="宋体" w:hAnsi="宋体" w:cs="宋体"/>
          <w:kern w:val="0"/>
          <w:sz w:val="21"/>
          <w:szCs w:val="21"/>
        </w:rPr>
        <w:t>从业人员</w:t>
      </w:r>
      <w:r>
        <w:rPr>
          <w:rFonts w:hint="eastAsia" w:ascii="宋体" w:hAnsi="宋体"/>
          <w:kern w:val="0"/>
          <w:sz w:val="21"/>
          <w:szCs w:val="21"/>
        </w:rPr>
        <w:t>1000</w:t>
      </w:r>
      <w:r>
        <w:rPr>
          <w:rFonts w:hint="eastAsia" w:ascii="宋体" w:hAnsi="宋体" w:cs="宋体"/>
          <w:kern w:val="0"/>
          <w:sz w:val="21"/>
          <w:szCs w:val="21"/>
        </w:rPr>
        <w:t>人以下或营业收入</w:t>
      </w:r>
      <w:r>
        <w:rPr>
          <w:rFonts w:hint="eastAsia" w:ascii="宋体" w:hAnsi="宋体"/>
          <w:kern w:val="0"/>
          <w:sz w:val="21"/>
          <w:szCs w:val="21"/>
        </w:rPr>
        <w:t>40000</w:t>
      </w:r>
      <w:r>
        <w:rPr>
          <w:rFonts w:hint="eastAsia" w:ascii="宋体" w:hAnsi="宋体" w:cs="宋体"/>
          <w:kern w:val="0"/>
          <w:sz w:val="21"/>
          <w:szCs w:val="21"/>
        </w:rPr>
        <w:t>万元以下的为中小微型企业。其中，从业人员</w:t>
      </w:r>
      <w:r>
        <w:rPr>
          <w:rFonts w:hint="eastAsia" w:ascii="宋体" w:hAnsi="宋体"/>
          <w:kern w:val="0"/>
          <w:sz w:val="21"/>
          <w:szCs w:val="21"/>
        </w:rPr>
        <w:t>300</w:t>
      </w:r>
      <w:r>
        <w:rPr>
          <w:rFonts w:hint="eastAsia" w:ascii="宋体" w:hAnsi="宋体" w:cs="宋体"/>
          <w:kern w:val="0"/>
          <w:sz w:val="21"/>
          <w:szCs w:val="21"/>
        </w:rPr>
        <w:t>人及以上，且营业收入</w:t>
      </w:r>
      <w:r>
        <w:rPr>
          <w:rFonts w:hint="eastAsia" w:ascii="宋体" w:hAnsi="宋体"/>
          <w:kern w:val="0"/>
          <w:sz w:val="21"/>
          <w:szCs w:val="21"/>
        </w:rPr>
        <w:t>2000</w:t>
      </w:r>
      <w:r>
        <w:rPr>
          <w:rFonts w:hint="eastAsia" w:ascii="宋体" w:hAnsi="宋体" w:cs="宋体"/>
          <w:kern w:val="0"/>
          <w:sz w:val="21"/>
          <w:szCs w:val="21"/>
        </w:rPr>
        <w:t>万元及以上的为中型企业；从业人员</w:t>
      </w:r>
      <w:r>
        <w:rPr>
          <w:rFonts w:hint="eastAsia" w:ascii="宋体" w:hAnsi="宋体"/>
          <w:kern w:val="0"/>
          <w:sz w:val="21"/>
          <w:szCs w:val="21"/>
        </w:rPr>
        <w:t>20</w:t>
      </w:r>
      <w:r>
        <w:rPr>
          <w:rFonts w:hint="eastAsia" w:ascii="宋体" w:hAnsi="宋体" w:cs="宋体"/>
          <w:kern w:val="0"/>
          <w:sz w:val="21"/>
          <w:szCs w:val="21"/>
        </w:rPr>
        <w:t>人及以上，且营业收入</w:t>
      </w:r>
      <w:r>
        <w:rPr>
          <w:rFonts w:hint="eastAsia" w:ascii="宋体" w:hAnsi="宋体"/>
          <w:kern w:val="0"/>
          <w:sz w:val="21"/>
          <w:szCs w:val="21"/>
        </w:rPr>
        <w:t>300</w:t>
      </w:r>
      <w:r>
        <w:rPr>
          <w:rFonts w:hint="eastAsia" w:ascii="宋体" w:hAnsi="宋体" w:cs="宋体"/>
          <w:kern w:val="0"/>
          <w:sz w:val="21"/>
          <w:szCs w:val="21"/>
        </w:rPr>
        <w:t>万元及以上的为小型企业；从业人员</w:t>
      </w:r>
      <w:r>
        <w:rPr>
          <w:rFonts w:hint="eastAsia" w:ascii="宋体" w:hAnsi="宋体"/>
          <w:kern w:val="0"/>
          <w:sz w:val="21"/>
          <w:szCs w:val="21"/>
        </w:rPr>
        <w:t>20</w:t>
      </w:r>
      <w:r>
        <w:rPr>
          <w:rFonts w:hint="eastAsia" w:ascii="宋体" w:hAnsi="宋体" w:cs="宋体"/>
          <w:kern w:val="0"/>
          <w:sz w:val="21"/>
          <w:szCs w:val="21"/>
        </w:rPr>
        <w:t>人以下或营业收入</w:t>
      </w:r>
      <w:r>
        <w:rPr>
          <w:rFonts w:hint="eastAsia" w:ascii="宋体" w:hAnsi="宋体"/>
          <w:kern w:val="0"/>
          <w:sz w:val="21"/>
          <w:szCs w:val="21"/>
        </w:rPr>
        <w:t>300</w:t>
      </w:r>
      <w:r>
        <w:rPr>
          <w:rFonts w:hint="eastAsia" w:ascii="宋体" w:hAnsi="宋体" w:cs="宋体"/>
          <w:kern w:val="0"/>
          <w:sz w:val="21"/>
          <w:szCs w:val="21"/>
        </w:rPr>
        <w:t>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w:t>
            </w:r>
            <w:bookmarkStart w:id="0" w:name="_Hlk82522812"/>
            <w:r>
              <w:rPr>
                <w:rFonts w:hint="eastAsia" w:ascii="宋体" w:hAnsi="宋体" w:cs="宋体"/>
                <w:spacing w:val="-6"/>
                <w:kern w:val="0"/>
                <w:sz w:val="21"/>
                <w:szCs w:val="21"/>
              </w:rPr>
              <w:t>合同签订后一周内，中标人向采购人提交合同总价</w:t>
            </w:r>
            <w:r>
              <w:rPr>
                <w:rFonts w:ascii="宋体" w:hAnsi="宋体" w:cs="宋体"/>
                <w:spacing w:val="-6"/>
                <w:kern w:val="0"/>
                <w:sz w:val="21"/>
                <w:szCs w:val="21"/>
              </w:rPr>
              <w:t>5%的履约保证金，履约保证金在质保期内无质量问题和维护问题，质保期满</w:t>
            </w:r>
            <w:r>
              <w:rPr>
                <w:rFonts w:hint="eastAsia" w:ascii="宋体" w:hAnsi="宋体" w:cs="宋体"/>
                <w:spacing w:val="-6"/>
                <w:kern w:val="0"/>
                <w:sz w:val="21"/>
                <w:szCs w:val="21"/>
              </w:rPr>
              <w:t>一年</w:t>
            </w:r>
            <w:r>
              <w:rPr>
                <w:rFonts w:ascii="宋体" w:hAnsi="宋体" w:cs="宋体"/>
                <w:spacing w:val="-6"/>
                <w:kern w:val="0"/>
                <w:sz w:val="21"/>
                <w:szCs w:val="21"/>
              </w:rPr>
              <w:t>后，于20个工作日内退还（不计息），逾期退还的，自逾期之日起，向中标人每日偿付合同价款的</w:t>
            </w:r>
            <w:r>
              <w:rPr>
                <w:rFonts w:hint="eastAsia" w:ascii="宋体" w:hAnsi="宋体"/>
                <w:spacing w:val="-6"/>
                <w:sz w:val="21"/>
                <w:szCs w:val="21"/>
              </w:rPr>
              <w:t>0</w:t>
            </w:r>
            <w:r>
              <w:rPr>
                <w:rFonts w:ascii="宋体" w:hAnsi="宋体"/>
                <w:spacing w:val="-6"/>
                <w:sz w:val="21"/>
                <w:szCs w:val="21"/>
              </w:rPr>
              <w:t>.05</w:t>
            </w:r>
            <w:r>
              <w:rPr>
                <w:rFonts w:hint="eastAsia" w:ascii="宋体" w:hAnsi="宋体"/>
                <w:spacing w:val="-6"/>
                <w:sz w:val="21"/>
                <w:szCs w:val="21"/>
              </w:rPr>
              <w:t>%</w:t>
            </w:r>
            <w:r>
              <w:rPr>
                <w:rFonts w:ascii="宋体" w:hAnsi="宋体" w:cs="宋体"/>
                <w:spacing w:val="-6"/>
                <w:kern w:val="0"/>
                <w:sz w:val="21"/>
                <w:szCs w:val="21"/>
              </w:rPr>
              <w:t>的违约金；</w:t>
            </w:r>
            <w:bookmarkEnd w:id="0"/>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采购合同签订后且中标人已提交履约保证金的，采购人向中标人支付合同总价的</w:t>
            </w:r>
            <w:r>
              <w:rPr>
                <w:rFonts w:ascii="宋体" w:hAnsi="宋体" w:cs="宋体"/>
                <w:spacing w:val="-6"/>
                <w:kern w:val="0"/>
                <w:sz w:val="21"/>
                <w:szCs w:val="21"/>
              </w:rPr>
              <w:t>5</w:t>
            </w:r>
            <w:r>
              <w:rPr>
                <w:rFonts w:hint="eastAsia" w:ascii="宋体" w:hAnsi="宋体" w:cs="宋体"/>
                <w:spacing w:val="-6"/>
                <w:kern w:val="0"/>
                <w:sz w:val="21"/>
                <w:szCs w:val="21"/>
              </w:rPr>
              <w:t>0%；货物送达指定地点，经采购人验收合格，</w:t>
            </w:r>
            <w:r>
              <w:rPr>
                <w:rFonts w:hint="eastAsia" w:ascii="宋体" w:hAnsi="宋体" w:cs="宋体"/>
                <w:kern w:val="0"/>
                <w:sz w:val="21"/>
                <w:szCs w:val="21"/>
              </w:rPr>
              <w:t>自收到中标人发票后5个工作日内支付</w:t>
            </w:r>
            <w:r>
              <w:rPr>
                <w:rFonts w:hint="eastAsia" w:ascii="宋体" w:hAnsi="宋体" w:cs="宋体"/>
                <w:spacing w:val="-6"/>
                <w:kern w:val="0"/>
                <w:sz w:val="21"/>
                <w:szCs w:val="21"/>
              </w:rPr>
              <w:t>合同总价的</w:t>
            </w:r>
            <w:r>
              <w:rPr>
                <w:rFonts w:ascii="宋体" w:hAnsi="宋体" w:cs="宋体"/>
                <w:spacing w:val="-6"/>
                <w:kern w:val="0"/>
                <w:sz w:val="21"/>
                <w:szCs w:val="21"/>
              </w:rPr>
              <w:t>50</w:t>
            </w:r>
            <w:r>
              <w:rPr>
                <w:rFonts w:hint="eastAsia" w:ascii="宋体" w:hAnsi="宋体" w:cs="宋体"/>
                <w:spacing w:val="-6"/>
                <w:kern w:val="0"/>
                <w:sz w:val="21"/>
                <w:szCs w:val="21"/>
              </w:rPr>
              <w:t>%</w:t>
            </w:r>
            <w:r>
              <w:rPr>
                <w:rFonts w:hint="eastAsia" w:ascii="宋体" w:hAnsi="宋体" w:cs="宋体"/>
                <w:kern w:val="0"/>
                <w:sz w:val="21"/>
                <w:szCs w:val="21"/>
              </w:rPr>
              <w:t>到中标人账户。</w:t>
            </w:r>
            <w:r>
              <w:rPr>
                <w:rFonts w:hint="eastAsia" w:ascii="宋体" w:hAnsi="宋体"/>
                <w:spacing w:val="-6"/>
                <w:sz w:val="21"/>
                <w:szCs w:val="21"/>
              </w:rPr>
              <w:t>逾期支付货款的，自逾期之日起，向中标人每日偿付未付价款0</w:t>
            </w:r>
            <w:r>
              <w:rPr>
                <w:rFonts w:ascii="宋体" w:hAnsi="宋体"/>
                <w:spacing w:val="-6"/>
                <w:sz w:val="21"/>
                <w:szCs w:val="21"/>
              </w:rPr>
              <w:t>.05</w:t>
            </w:r>
            <w:r>
              <w:rPr>
                <w:rFonts w:hint="eastAsia" w:ascii="宋体" w:hAnsi="宋体"/>
                <w:spacing w:val="-6"/>
                <w:sz w:val="21"/>
                <w:szCs w:val="21"/>
              </w:rPr>
              <w:t>%的滞纳金。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合同签订之日起</w:t>
            </w:r>
            <w:r>
              <w:rPr>
                <w:rFonts w:ascii="宋体" w:hAnsi="宋体"/>
                <w:sz w:val="21"/>
                <w:szCs w:val="21"/>
              </w:rPr>
              <w:t>120</w:t>
            </w:r>
            <w:r>
              <w:rPr>
                <w:rFonts w:hint="eastAsia" w:ascii="宋体" w:hAnsi="宋体"/>
                <w:sz w:val="21"/>
                <w:szCs w:val="21"/>
              </w:rPr>
              <w:t>天内完成交付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 xml:space="preserve">如在使用过程中发生质量问题，供应商维修响应时间： </w:t>
            </w:r>
            <w:r>
              <w:rPr>
                <w:rFonts w:ascii="宋体" w:hAnsi="宋体" w:cs="宋体"/>
                <w:sz w:val="21"/>
                <w:szCs w:val="21"/>
                <w:u w:val="single"/>
              </w:rPr>
              <w:t>2</w:t>
            </w:r>
            <w:r>
              <w:rPr>
                <w:rFonts w:hint="eastAsia" w:ascii="宋体" w:hAnsi="宋体" w:cs="宋体"/>
                <w:sz w:val="21"/>
                <w:szCs w:val="21"/>
                <w:u w:val="single"/>
              </w:rPr>
              <w:t xml:space="preserve"> 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电话技术支持时间：</w:t>
            </w:r>
            <w:r>
              <w:rPr>
                <w:rFonts w:ascii="宋体" w:hAnsi="宋体" w:cs="宋体"/>
                <w:sz w:val="21"/>
                <w:szCs w:val="21"/>
                <w:u w:val="single"/>
              </w:rPr>
              <w:t>2</w:t>
            </w:r>
            <w:r>
              <w:rPr>
                <w:rFonts w:hint="eastAsia" w:ascii="宋体" w:hAnsi="宋体" w:cs="宋体"/>
                <w:sz w:val="21"/>
                <w:szCs w:val="21"/>
                <w:u w:val="single"/>
              </w:rPr>
              <w:t>小时以内；</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若需上门维修，则在：</w:t>
            </w:r>
            <w:r>
              <w:rPr>
                <w:rFonts w:ascii="宋体" w:hAnsi="宋体" w:cs="宋体"/>
                <w:sz w:val="21"/>
                <w:szCs w:val="21"/>
                <w:u w:val="single"/>
              </w:rPr>
              <w:t>48</w:t>
            </w:r>
            <w:r>
              <w:rPr>
                <w:rFonts w:hint="eastAsia" w:ascii="宋体" w:hAnsi="宋体" w:cs="宋体"/>
                <w:sz w:val="21"/>
                <w:szCs w:val="21"/>
                <w:u w:val="single"/>
              </w:rPr>
              <w:t xml:space="preserve"> 小时内到达现场并进行维修；</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cs="宋体"/>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质量、安全、技术规格、物理特性等要求：</w:t>
      </w:r>
    </w:p>
    <w:tbl>
      <w:tblPr>
        <w:tblStyle w:val="2"/>
        <w:tblW w:w="10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152"/>
        <w:gridCol w:w="839"/>
        <w:gridCol w:w="70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152"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83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94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1</w:t>
            </w:r>
          </w:p>
        </w:tc>
        <w:tc>
          <w:tcPr>
            <w:tcW w:w="1152" w:type="dxa"/>
            <w:vAlign w:val="center"/>
          </w:tcPr>
          <w:p>
            <w:pPr>
              <w:adjustRightInd w:val="0"/>
              <w:snapToGrid w:val="0"/>
              <w:jc w:val="center"/>
              <w:rPr>
                <w:rFonts w:ascii="宋体" w:hAnsi="宋体"/>
                <w:b/>
                <w:bCs/>
                <w:sz w:val="21"/>
                <w:szCs w:val="21"/>
              </w:rPr>
            </w:pPr>
            <w:r>
              <w:rPr>
                <w:rFonts w:hint="eastAsia" w:ascii="宋体" w:hAnsi="宋体"/>
                <w:b/>
                <w:bCs/>
                <w:sz w:val="21"/>
                <w:szCs w:val="21"/>
              </w:rPr>
              <w:t>半导体测试装置</w:t>
            </w:r>
          </w:p>
          <w:p>
            <w:pPr>
              <w:adjustRightInd w:val="0"/>
              <w:snapToGrid w:val="0"/>
              <w:jc w:val="center"/>
              <w:rPr>
                <w:rFonts w:ascii="宋体" w:hAnsi="宋体"/>
                <w:b/>
                <w:bCs/>
                <w:sz w:val="21"/>
                <w:szCs w:val="21"/>
              </w:rPr>
            </w:pPr>
            <w:r>
              <w:rPr>
                <w:rFonts w:hint="eastAsia" w:ascii="宋体" w:hAnsi="宋体"/>
                <w:b/>
                <w:bCs/>
                <w:sz w:val="21"/>
                <w:szCs w:val="21"/>
              </w:rPr>
              <w:t>（核心产品）</w:t>
            </w:r>
          </w:p>
        </w:tc>
        <w:tc>
          <w:tcPr>
            <w:tcW w:w="839" w:type="dxa"/>
            <w:vAlign w:val="center"/>
          </w:tcPr>
          <w:p>
            <w:pPr>
              <w:adjustRightInd w:val="0"/>
              <w:snapToGrid w:val="0"/>
              <w:jc w:val="center"/>
              <w:rPr>
                <w:rFonts w:ascii="宋体" w:hAnsi="宋体" w:cs="宋体"/>
                <w:b/>
                <w:bCs/>
                <w:sz w:val="21"/>
                <w:szCs w:val="21"/>
              </w:rPr>
            </w:pPr>
            <w:r>
              <w:rPr>
                <w:rFonts w:hint="eastAsia" w:ascii="宋体" w:hAnsi="宋体"/>
                <w:b/>
                <w:bCs/>
                <w:color w:val="000000"/>
                <w:sz w:val="21"/>
                <w:szCs w:val="21"/>
              </w:rPr>
              <w:t>1</w:t>
            </w:r>
          </w:p>
        </w:tc>
        <w:tc>
          <w:tcPr>
            <w:tcW w:w="709"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套</w:t>
            </w:r>
          </w:p>
        </w:tc>
        <w:tc>
          <w:tcPr>
            <w:tcW w:w="6946" w:type="dxa"/>
            <w:vAlign w:val="center"/>
          </w:tcPr>
          <w:p>
            <w:pPr>
              <w:rPr>
                <w:rFonts w:ascii="宋体" w:hAnsi="宋体" w:cs="宋体"/>
                <w:b/>
                <w:bCs/>
                <w:sz w:val="21"/>
                <w:szCs w:val="21"/>
              </w:rPr>
            </w:pPr>
            <w:r>
              <w:rPr>
                <w:rFonts w:hint="eastAsia" w:ascii="宋体" w:hAnsi="宋体" w:cs="宋体"/>
                <w:b/>
                <w:bCs/>
                <w:sz w:val="21"/>
                <w:szCs w:val="21"/>
              </w:rPr>
              <w:t>高电压IV测试单元：</w:t>
            </w:r>
          </w:p>
          <w:p>
            <w:pPr>
              <w:rPr>
                <w:rFonts w:ascii="宋体" w:hAnsi="宋体" w:cs="宋体"/>
                <w:sz w:val="21"/>
                <w:szCs w:val="21"/>
              </w:rPr>
            </w:pPr>
            <w:r>
              <w:rPr>
                <w:rFonts w:hint="eastAsia" w:ascii="宋体" w:hAnsi="宋体" w:cs="宋体"/>
                <w:sz w:val="21"/>
                <w:szCs w:val="21"/>
              </w:rPr>
              <w:t>1，电压源输出电压量程/分辨率： 200V/5mV，3000V/80mV</w:t>
            </w:r>
          </w:p>
          <w:p>
            <w:pPr>
              <w:rPr>
                <w:rFonts w:ascii="宋体" w:hAnsi="宋体" w:cs="宋体"/>
                <w:sz w:val="21"/>
                <w:szCs w:val="21"/>
              </w:rPr>
            </w:pPr>
            <w:r>
              <w:rPr>
                <w:rFonts w:hint="eastAsia" w:ascii="宋体" w:hAnsi="宋体" w:cs="宋体"/>
                <w:sz w:val="21"/>
                <w:szCs w:val="21"/>
              </w:rPr>
              <w:t>2，电压测试范围/分辨率：200V(量程)/100μV，3000V(量程)/1mV</w:t>
            </w:r>
          </w:p>
          <w:p>
            <w:pPr>
              <w:rPr>
                <w:rFonts w:ascii="宋体" w:hAnsi="宋体" w:cs="宋体"/>
                <w:sz w:val="21"/>
                <w:szCs w:val="21"/>
              </w:rPr>
            </w:pPr>
            <w:r>
              <w:rPr>
                <w:rFonts w:hint="eastAsia" w:ascii="宋体" w:hAnsi="宋体" w:cs="宋体"/>
                <w:sz w:val="21"/>
                <w:szCs w:val="21"/>
              </w:rPr>
              <w:t>3，电流源输出电流量程/分辨率：1nA/30fA，120mA/3μA</w:t>
            </w:r>
          </w:p>
          <w:p>
            <w:pPr>
              <w:rPr>
                <w:rFonts w:ascii="宋体" w:hAnsi="宋体" w:cs="宋体"/>
                <w:sz w:val="21"/>
                <w:szCs w:val="21"/>
              </w:rPr>
            </w:pPr>
            <w:r>
              <w:rPr>
                <w:rFonts w:hint="eastAsia" w:ascii="宋体" w:hAnsi="宋体" w:cs="宋体"/>
                <w:sz w:val="21"/>
                <w:szCs w:val="21"/>
              </w:rPr>
              <w:t>4，电流测试范围/分辨率：1nA(量程)/1fA，120mA (量程)/ 0.1μA</w:t>
            </w:r>
          </w:p>
          <w:p>
            <w:pPr>
              <w:rPr>
                <w:rFonts w:ascii="宋体" w:hAnsi="宋体" w:cs="宋体"/>
                <w:sz w:val="21"/>
                <w:szCs w:val="21"/>
              </w:rPr>
            </w:pPr>
            <w:r>
              <w:rPr>
                <w:rFonts w:hint="eastAsia" w:ascii="宋体" w:hAnsi="宋体" w:cs="宋体"/>
                <w:sz w:val="21"/>
                <w:szCs w:val="21"/>
              </w:rPr>
              <w:t>5，脉冲宽度: 100μs 至 DC</w:t>
            </w:r>
          </w:p>
          <w:p>
            <w:pPr>
              <w:rPr>
                <w:rFonts w:ascii="宋体" w:hAnsi="宋体" w:cs="宋体"/>
                <w:sz w:val="21"/>
                <w:szCs w:val="21"/>
              </w:rPr>
            </w:pPr>
            <w:r>
              <w:rPr>
                <w:rFonts w:hint="eastAsia" w:ascii="宋体" w:hAnsi="宋体" w:cs="宋体"/>
                <w:sz w:val="21"/>
                <w:szCs w:val="21"/>
              </w:rPr>
              <w:t>6，脉冲宽度分辨率 1μs</w:t>
            </w:r>
          </w:p>
          <w:p>
            <w:pPr>
              <w:rPr>
                <w:rFonts w:ascii="宋体" w:hAnsi="宋体" w:cs="宋体"/>
                <w:sz w:val="21"/>
                <w:szCs w:val="21"/>
              </w:rPr>
            </w:pPr>
            <w:r>
              <w:rPr>
                <w:rFonts w:hint="eastAsia" w:ascii="宋体" w:hAnsi="宋体" w:cs="宋体"/>
                <w:sz w:val="21"/>
                <w:szCs w:val="21"/>
              </w:rPr>
              <w:t>7，四象限工作(带电子负载能力)</w:t>
            </w:r>
          </w:p>
          <w:p>
            <w:pPr>
              <w:rPr>
                <w:rFonts w:ascii="宋体" w:hAnsi="宋体" w:cs="宋体"/>
                <w:b/>
                <w:bCs/>
                <w:sz w:val="21"/>
                <w:szCs w:val="21"/>
              </w:rPr>
            </w:pPr>
            <w:r>
              <w:rPr>
                <w:rFonts w:hint="eastAsia" w:ascii="宋体" w:hAnsi="宋体" w:cs="宋体"/>
                <w:b/>
                <w:bCs/>
                <w:sz w:val="21"/>
                <w:szCs w:val="21"/>
              </w:rPr>
              <w:t>中功率IV测试单元：</w:t>
            </w:r>
          </w:p>
          <w:p>
            <w:pPr>
              <w:rPr>
                <w:rFonts w:ascii="宋体" w:hAnsi="宋体" w:cs="宋体"/>
                <w:sz w:val="21"/>
                <w:szCs w:val="21"/>
              </w:rPr>
            </w:pPr>
            <w:r>
              <w:rPr>
                <w:rFonts w:hint="eastAsia" w:ascii="宋体" w:hAnsi="宋体" w:cs="宋体"/>
                <w:sz w:val="21"/>
                <w:szCs w:val="21"/>
              </w:rPr>
              <w:t>8，电压源输出电压量程/分辨率： 200mV/5μV，200V/5mV</w:t>
            </w:r>
          </w:p>
          <w:p>
            <w:pPr>
              <w:rPr>
                <w:rFonts w:ascii="宋体" w:hAnsi="宋体" w:cs="宋体"/>
                <w:sz w:val="21"/>
                <w:szCs w:val="21"/>
              </w:rPr>
            </w:pPr>
            <w:r>
              <w:rPr>
                <w:rFonts w:hint="eastAsia" w:ascii="宋体" w:hAnsi="宋体" w:cs="宋体"/>
                <w:sz w:val="21"/>
                <w:szCs w:val="21"/>
              </w:rPr>
              <w:t>9，电压测试范围/分辨率：200mV(量程)/100nV，200V(量程)/100μV</w:t>
            </w:r>
          </w:p>
          <w:p>
            <w:pPr>
              <w:rPr>
                <w:rFonts w:ascii="宋体" w:hAnsi="宋体" w:cs="宋体"/>
                <w:sz w:val="21"/>
                <w:szCs w:val="21"/>
              </w:rPr>
            </w:pPr>
            <w:r>
              <w:rPr>
                <w:rFonts w:hint="eastAsia" w:ascii="宋体" w:hAnsi="宋体" w:cs="宋体"/>
                <w:sz w:val="21"/>
                <w:szCs w:val="21"/>
              </w:rPr>
              <w:t>10，电流源输出电流量程/分辨率：1nA/20fA，10A/200μA（脉冲）</w:t>
            </w:r>
          </w:p>
          <w:p>
            <w:pPr>
              <w:rPr>
                <w:rFonts w:ascii="宋体" w:hAnsi="宋体" w:cs="宋体"/>
                <w:sz w:val="21"/>
                <w:szCs w:val="21"/>
              </w:rPr>
            </w:pPr>
            <w:r>
              <w:rPr>
                <w:rFonts w:hint="eastAsia" w:ascii="宋体" w:hAnsi="宋体" w:cs="宋体"/>
                <w:sz w:val="21"/>
                <w:szCs w:val="21"/>
              </w:rPr>
              <w:t>*11，电流测试范围/分辨率：100pA(量程)/0.1fA，10A (量程)/ 10μA</w:t>
            </w:r>
          </w:p>
          <w:p>
            <w:pPr>
              <w:rPr>
                <w:rFonts w:ascii="宋体" w:hAnsi="宋体" w:cs="宋体"/>
                <w:sz w:val="21"/>
                <w:szCs w:val="21"/>
              </w:rPr>
            </w:pPr>
            <w:r>
              <w:rPr>
                <w:rFonts w:hint="eastAsia" w:ascii="宋体" w:hAnsi="宋体" w:cs="宋体"/>
                <w:sz w:val="21"/>
                <w:szCs w:val="21"/>
              </w:rPr>
              <w:t>12，系统软件具备标准半导体器件参数测试库：二极管，三极管，金属氧化物半导体场效应晶体管（Mosfet）, 晶阐管, 可控硅,IGBT,GaN,SiC,LDMOS等器件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2</w:t>
            </w:r>
          </w:p>
        </w:tc>
        <w:tc>
          <w:tcPr>
            <w:tcW w:w="1152" w:type="dxa"/>
            <w:vAlign w:val="center"/>
          </w:tcPr>
          <w:p>
            <w:pPr>
              <w:adjustRightInd w:val="0"/>
              <w:snapToGrid w:val="0"/>
              <w:jc w:val="center"/>
              <w:rPr>
                <w:rFonts w:ascii="宋体" w:hAnsi="宋体"/>
                <w:b/>
                <w:bCs/>
                <w:sz w:val="21"/>
                <w:szCs w:val="21"/>
              </w:rPr>
            </w:pPr>
            <w:r>
              <w:rPr>
                <w:rFonts w:hint="eastAsia" w:ascii="宋体" w:hAnsi="宋体"/>
                <w:b/>
                <w:bCs/>
                <w:sz w:val="21"/>
                <w:szCs w:val="21"/>
              </w:rPr>
              <w:t>接口器</w:t>
            </w:r>
          </w:p>
        </w:tc>
        <w:tc>
          <w:tcPr>
            <w:tcW w:w="839" w:type="dxa"/>
            <w:vAlign w:val="center"/>
          </w:tcPr>
          <w:p>
            <w:pPr>
              <w:adjustRightInd w:val="0"/>
              <w:snapToGrid w:val="0"/>
              <w:jc w:val="center"/>
              <w:rPr>
                <w:rFonts w:ascii="宋体" w:hAnsi="宋体" w:cs="宋体"/>
                <w:b/>
                <w:bCs/>
                <w:sz w:val="21"/>
                <w:szCs w:val="21"/>
              </w:rPr>
            </w:pPr>
            <w:r>
              <w:rPr>
                <w:rFonts w:hint="eastAsia" w:ascii="宋体" w:hAnsi="宋体"/>
                <w:b/>
                <w:bCs/>
                <w:sz w:val="21"/>
                <w:szCs w:val="21"/>
              </w:rPr>
              <w:t>1</w:t>
            </w:r>
          </w:p>
        </w:tc>
        <w:tc>
          <w:tcPr>
            <w:tcW w:w="709" w:type="dxa"/>
            <w:vAlign w:val="center"/>
          </w:tcPr>
          <w:p>
            <w:pPr>
              <w:adjustRightInd w:val="0"/>
              <w:snapToGrid w:val="0"/>
              <w:jc w:val="center"/>
              <w:rPr>
                <w:rFonts w:ascii="宋体" w:hAnsi="宋体" w:cs="宋体"/>
                <w:b/>
                <w:bCs/>
                <w:sz w:val="21"/>
                <w:szCs w:val="21"/>
              </w:rPr>
            </w:pPr>
            <w:r>
              <w:rPr>
                <w:rFonts w:hint="eastAsia" w:ascii="宋体" w:hAnsi="宋体" w:cs="宋体"/>
                <w:b/>
                <w:bCs/>
                <w:sz w:val="21"/>
                <w:szCs w:val="21"/>
              </w:rPr>
              <w:t>套</w:t>
            </w:r>
          </w:p>
        </w:tc>
        <w:tc>
          <w:tcPr>
            <w:tcW w:w="6946" w:type="dxa"/>
            <w:vAlign w:val="center"/>
          </w:tcPr>
          <w:p>
            <w:pPr>
              <w:rPr>
                <w:rFonts w:ascii="宋体" w:hAnsi="宋体" w:cs="仿宋"/>
                <w:snapToGrid w:val="0"/>
                <w:kern w:val="0"/>
                <w:sz w:val="21"/>
                <w:szCs w:val="21"/>
              </w:rPr>
            </w:pPr>
            <w:r>
              <w:rPr>
                <w:rFonts w:hint="eastAsia" w:ascii="宋体" w:hAnsi="宋体" w:cs="宋体"/>
                <w:sz w:val="21"/>
                <w:szCs w:val="21"/>
              </w:rPr>
              <w:t>接口转换面板：与探针台连接, 实现晶圆级别IV特性测试，支持KHV, AHV, SHV, STC等多接口，选配CVU BiasT 实现3000V CV 测试.</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36D24"/>
    <w:rsid w:val="11D3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2021-11-11T09:48:00Z</dcterms:created>
  <dc:creator>amander</dc:creator>
  <lastModifiedBy>amander</lastModifiedBy>
  <dcterms:modified xsi:type="dcterms:W3CDTF">2021-11-11T09:49:07Z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074E03727B74479DBBDD772014F22396</vt:lpwstr>
  </property>
</Properties>
</file>