
<file path=[Content_Types].xml><?xml version="1.0" encoding="utf-8"?>
<Types xmlns="http://schemas.openxmlformats.org/package/2006/content-types">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Relationships xmlns="http://schemas.openxmlformats.org/package/2006/relationships">
  <Relationship Id="rId1" Type="http://schemas.openxmlformats.org/officeDocument/2006/relationships/extended-properties" Target="docProps/app.xml"/>
  <Relationship Id="rId2" Type="http://schemas.openxmlformats.org/package/2006/relationships/metadata/core-properties" Target="docProps/core.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val="0"/>
        <w:snapToGrid w:val="0"/>
        <w:spacing w:line="288" w:lineRule="auto"/>
        <w:ind w:left="238"/>
        <w:jc w:val="center"/>
        <w:outlineLvl w:val="0"/>
        <w:rPr>
          <w:rFonts w:ascii="宋体" w:hAnsi="宋体"/>
          <w:b/>
          <w:bCs/>
          <w:sz w:val="32"/>
          <w:szCs w:val="32"/>
        </w:rPr>
      </w:pPr>
      <w:r>
        <w:rPr>
          <w:rFonts w:hint="eastAsia" w:ascii="宋体" w:hAnsi="宋体"/>
          <w:b/>
          <w:bCs/>
          <w:sz w:val="32"/>
          <w:szCs w:val="32"/>
        </w:rPr>
        <w:t>采购需求</w:t>
      </w:r>
    </w:p>
    <w:p>
      <w:pPr>
        <w:adjustRightInd w:val="0"/>
        <w:snapToGrid w:val="0"/>
        <w:spacing w:line="288" w:lineRule="auto"/>
        <w:ind w:left="238" w:hanging="238" w:hangingChars="113"/>
        <w:outlineLvl w:val="1"/>
        <w:rPr>
          <w:rFonts w:ascii="宋体" w:hAnsi="宋体"/>
          <w:b/>
          <w:sz w:val="21"/>
          <w:szCs w:val="21"/>
        </w:rPr>
      </w:pPr>
      <w:r>
        <w:rPr>
          <w:rFonts w:hint="eastAsia" w:ascii="宋体" w:hAnsi="宋体"/>
          <w:b/>
          <w:sz w:val="21"/>
          <w:szCs w:val="21"/>
        </w:rPr>
        <w:t>一</w:t>
      </w:r>
      <w:r>
        <w:rPr>
          <w:rFonts w:ascii="宋体" w:hAnsi="宋体"/>
          <w:b/>
          <w:sz w:val="21"/>
          <w:szCs w:val="21"/>
        </w:rPr>
        <w:t>、</w:t>
      </w:r>
      <w:r>
        <w:rPr>
          <w:rFonts w:hint="eastAsia" w:ascii="宋体" w:hAnsi="宋体"/>
          <w:b/>
          <w:sz w:val="21"/>
          <w:szCs w:val="21"/>
        </w:rPr>
        <w:t>为落实政府采购政策需满足的要求：</w:t>
      </w:r>
    </w:p>
    <w:tbl>
      <w:tblPr>
        <w:tblStyle w:val="2"/>
        <w:tblW w:w="949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80"/>
        <w:gridCol w:w="4140"/>
        <w:gridCol w:w="467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80" w:type="dxa"/>
            <w:vAlign w:val="center"/>
          </w:tcPr>
          <w:p>
            <w:pPr>
              <w:adjustRightInd w:val="0"/>
              <w:snapToGrid w:val="0"/>
              <w:spacing w:line="288" w:lineRule="auto"/>
              <w:jc w:val="center"/>
              <w:rPr>
                <w:rFonts w:ascii="宋体" w:hAnsi="宋体"/>
                <w:b/>
                <w:sz w:val="21"/>
                <w:szCs w:val="21"/>
              </w:rPr>
            </w:pPr>
            <w:r>
              <w:rPr>
                <w:rFonts w:hint="eastAsia" w:ascii="宋体" w:hAnsi="宋体"/>
                <w:b/>
                <w:sz w:val="21"/>
                <w:szCs w:val="21"/>
              </w:rPr>
              <w:t>序号</w:t>
            </w:r>
          </w:p>
        </w:tc>
        <w:tc>
          <w:tcPr>
            <w:tcW w:w="4140" w:type="dxa"/>
            <w:vAlign w:val="center"/>
          </w:tcPr>
          <w:p>
            <w:pPr>
              <w:adjustRightInd w:val="0"/>
              <w:snapToGrid w:val="0"/>
              <w:spacing w:line="288" w:lineRule="auto"/>
              <w:jc w:val="center"/>
              <w:rPr>
                <w:rFonts w:ascii="宋体" w:hAnsi="宋体"/>
                <w:b/>
                <w:sz w:val="21"/>
                <w:szCs w:val="21"/>
              </w:rPr>
            </w:pPr>
            <w:r>
              <w:rPr>
                <w:rFonts w:hint="eastAsia" w:ascii="宋体" w:hAnsi="宋体"/>
                <w:b/>
                <w:sz w:val="21"/>
                <w:szCs w:val="21"/>
              </w:rPr>
              <w:t>政策名称</w:t>
            </w:r>
          </w:p>
        </w:tc>
        <w:tc>
          <w:tcPr>
            <w:tcW w:w="4678" w:type="dxa"/>
            <w:vAlign w:val="center"/>
          </w:tcPr>
          <w:p>
            <w:pPr>
              <w:adjustRightInd w:val="0"/>
              <w:snapToGrid w:val="0"/>
              <w:spacing w:line="288" w:lineRule="auto"/>
              <w:jc w:val="center"/>
              <w:rPr>
                <w:rFonts w:ascii="宋体" w:hAnsi="宋体"/>
                <w:b/>
                <w:sz w:val="21"/>
                <w:szCs w:val="21"/>
              </w:rPr>
            </w:pPr>
            <w:r>
              <w:rPr>
                <w:rFonts w:hint="eastAsia" w:ascii="宋体" w:hAnsi="宋体"/>
                <w:b/>
                <w:sz w:val="21"/>
                <w:szCs w:val="21"/>
              </w:rPr>
              <w:t>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80" w:type="dxa"/>
            <w:vAlign w:val="center"/>
          </w:tcPr>
          <w:p>
            <w:pPr>
              <w:adjustRightInd w:val="0"/>
              <w:snapToGrid w:val="0"/>
              <w:spacing w:line="288" w:lineRule="auto"/>
              <w:jc w:val="center"/>
              <w:rPr>
                <w:rFonts w:ascii="宋体" w:hAnsi="宋体"/>
                <w:sz w:val="21"/>
                <w:szCs w:val="21"/>
              </w:rPr>
            </w:pPr>
            <w:r>
              <w:rPr>
                <w:rFonts w:hint="eastAsia" w:ascii="宋体" w:hAnsi="宋体" w:cs="宋体"/>
                <w:sz w:val="21"/>
                <w:szCs w:val="21"/>
              </w:rPr>
              <w:t>1</w:t>
            </w:r>
          </w:p>
        </w:tc>
        <w:tc>
          <w:tcPr>
            <w:tcW w:w="4140" w:type="dxa"/>
            <w:vAlign w:val="center"/>
          </w:tcPr>
          <w:p>
            <w:pPr>
              <w:adjustRightInd w:val="0"/>
              <w:snapToGrid w:val="0"/>
              <w:spacing w:line="288" w:lineRule="auto"/>
              <w:jc w:val="center"/>
              <w:rPr>
                <w:rFonts w:ascii="宋体" w:hAnsi="宋体"/>
                <w:sz w:val="21"/>
                <w:szCs w:val="21"/>
              </w:rPr>
            </w:pPr>
            <w:r>
              <w:rPr>
                <w:rFonts w:hint="eastAsia" w:ascii="宋体" w:hAnsi="宋体" w:cs="宋体"/>
                <w:sz w:val="21"/>
                <w:szCs w:val="21"/>
              </w:rPr>
              <w:t>政府采购促进中小企业发展</w:t>
            </w:r>
          </w:p>
        </w:tc>
        <w:tc>
          <w:tcPr>
            <w:tcW w:w="4678" w:type="dxa"/>
            <w:vAlign w:val="center"/>
          </w:tcPr>
          <w:p>
            <w:pPr>
              <w:adjustRightInd w:val="0"/>
              <w:snapToGrid w:val="0"/>
              <w:spacing w:line="288" w:lineRule="auto"/>
              <w:rPr>
                <w:rFonts w:ascii="宋体" w:hAnsi="宋体"/>
                <w:sz w:val="21"/>
                <w:szCs w:val="21"/>
              </w:rPr>
            </w:pPr>
            <w:r>
              <w:rPr>
                <w:rFonts w:hint="eastAsia" w:ascii="宋体" w:hAnsi="宋体" w:cs="宋体"/>
                <w:sz w:val="21"/>
                <w:szCs w:val="21"/>
              </w:rPr>
              <w:t>提供材料详见招标文件第六章“报价文件”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80" w:type="dxa"/>
            <w:vAlign w:val="center"/>
          </w:tcPr>
          <w:p>
            <w:pPr>
              <w:adjustRightInd w:val="0"/>
              <w:snapToGrid w:val="0"/>
              <w:spacing w:line="288" w:lineRule="auto"/>
              <w:jc w:val="center"/>
              <w:rPr>
                <w:rFonts w:ascii="宋体" w:hAnsi="宋体"/>
                <w:sz w:val="21"/>
                <w:szCs w:val="21"/>
              </w:rPr>
            </w:pPr>
            <w:r>
              <w:rPr>
                <w:rFonts w:hint="eastAsia" w:ascii="宋体" w:hAnsi="宋体" w:cs="宋体"/>
                <w:sz w:val="21"/>
                <w:szCs w:val="21"/>
              </w:rPr>
              <w:t>2</w:t>
            </w:r>
          </w:p>
        </w:tc>
        <w:tc>
          <w:tcPr>
            <w:tcW w:w="4140" w:type="dxa"/>
            <w:vAlign w:val="center"/>
          </w:tcPr>
          <w:p>
            <w:pPr>
              <w:adjustRightInd w:val="0"/>
              <w:snapToGrid w:val="0"/>
              <w:spacing w:line="288" w:lineRule="auto"/>
              <w:jc w:val="center"/>
              <w:rPr>
                <w:rFonts w:ascii="宋体" w:hAnsi="宋体"/>
                <w:sz w:val="21"/>
                <w:szCs w:val="21"/>
              </w:rPr>
            </w:pPr>
            <w:r>
              <w:rPr>
                <w:rFonts w:hint="eastAsia" w:ascii="宋体" w:hAnsi="宋体" w:cs="宋体"/>
                <w:sz w:val="21"/>
                <w:szCs w:val="21"/>
              </w:rPr>
              <w:t>政府采购支持监狱企业发展</w:t>
            </w:r>
          </w:p>
        </w:tc>
        <w:tc>
          <w:tcPr>
            <w:tcW w:w="4678" w:type="dxa"/>
            <w:vAlign w:val="center"/>
          </w:tcPr>
          <w:p>
            <w:pPr>
              <w:adjustRightInd w:val="0"/>
              <w:snapToGrid w:val="0"/>
              <w:spacing w:line="288" w:lineRule="auto"/>
              <w:rPr>
                <w:rFonts w:ascii="宋体" w:hAnsi="宋体"/>
                <w:sz w:val="21"/>
                <w:szCs w:val="21"/>
              </w:rPr>
            </w:pPr>
            <w:r>
              <w:rPr>
                <w:rFonts w:hint="eastAsia" w:ascii="宋体" w:hAnsi="宋体" w:cs="宋体"/>
                <w:sz w:val="21"/>
                <w:szCs w:val="21"/>
              </w:rPr>
              <w:t>提供材料详见招标文件第六章“报价文件”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80" w:type="dxa"/>
            <w:vAlign w:val="center"/>
          </w:tcPr>
          <w:p>
            <w:pPr>
              <w:adjustRightInd w:val="0"/>
              <w:snapToGrid w:val="0"/>
              <w:spacing w:line="288" w:lineRule="auto"/>
              <w:jc w:val="center"/>
              <w:rPr>
                <w:rFonts w:ascii="宋体" w:hAnsi="宋体"/>
                <w:sz w:val="21"/>
                <w:szCs w:val="21"/>
              </w:rPr>
            </w:pPr>
            <w:r>
              <w:rPr>
                <w:rFonts w:hint="eastAsia" w:ascii="宋体" w:hAnsi="宋体" w:cs="宋体"/>
                <w:sz w:val="21"/>
                <w:szCs w:val="21"/>
              </w:rPr>
              <w:t>3</w:t>
            </w:r>
          </w:p>
        </w:tc>
        <w:tc>
          <w:tcPr>
            <w:tcW w:w="4140" w:type="dxa"/>
            <w:vAlign w:val="center"/>
          </w:tcPr>
          <w:p>
            <w:pPr>
              <w:adjustRightInd w:val="0"/>
              <w:snapToGrid w:val="0"/>
              <w:spacing w:line="288" w:lineRule="auto"/>
              <w:jc w:val="center"/>
              <w:rPr>
                <w:rFonts w:ascii="宋体" w:hAnsi="宋体"/>
                <w:sz w:val="21"/>
                <w:szCs w:val="21"/>
              </w:rPr>
            </w:pPr>
            <w:r>
              <w:rPr>
                <w:rFonts w:hint="eastAsia" w:ascii="宋体" w:hAnsi="宋体" w:cs="宋体"/>
                <w:sz w:val="21"/>
                <w:szCs w:val="21"/>
              </w:rPr>
              <w:t>政府采购促进残疾人就业</w:t>
            </w:r>
          </w:p>
        </w:tc>
        <w:tc>
          <w:tcPr>
            <w:tcW w:w="4678" w:type="dxa"/>
            <w:vAlign w:val="center"/>
          </w:tcPr>
          <w:p>
            <w:pPr>
              <w:adjustRightInd w:val="0"/>
              <w:snapToGrid w:val="0"/>
              <w:spacing w:line="288" w:lineRule="auto"/>
              <w:rPr>
                <w:rFonts w:ascii="宋体" w:hAnsi="宋体"/>
                <w:sz w:val="21"/>
                <w:szCs w:val="21"/>
              </w:rPr>
            </w:pPr>
            <w:r>
              <w:rPr>
                <w:rFonts w:hint="eastAsia" w:ascii="宋体" w:hAnsi="宋体" w:cs="宋体"/>
                <w:sz w:val="21"/>
                <w:szCs w:val="21"/>
              </w:rPr>
              <w:t>提供材料详见招标文件第六章“报价文件”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80" w:type="dxa"/>
            <w:vAlign w:val="center"/>
          </w:tcPr>
          <w:p>
            <w:pPr>
              <w:adjustRightInd w:val="0"/>
              <w:snapToGrid w:val="0"/>
              <w:spacing w:line="288" w:lineRule="auto"/>
              <w:jc w:val="center"/>
              <w:rPr>
                <w:rFonts w:ascii="宋体" w:hAnsi="宋体"/>
                <w:sz w:val="21"/>
                <w:szCs w:val="21"/>
              </w:rPr>
            </w:pPr>
            <w:r>
              <w:rPr>
                <w:rFonts w:hint="eastAsia" w:ascii="宋体" w:hAnsi="宋体" w:cs="宋体"/>
                <w:sz w:val="21"/>
                <w:szCs w:val="21"/>
              </w:rPr>
              <w:t>4</w:t>
            </w:r>
          </w:p>
        </w:tc>
        <w:tc>
          <w:tcPr>
            <w:tcW w:w="4140" w:type="dxa"/>
            <w:vAlign w:val="center"/>
          </w:tcPr>
          <w:p>
            <w:pPr>
              <w:adjustRightInd w:val="0"/>
              <w:snapToGrid w:val="0"/>
              <w:spacing w:line="288" w:lineRule="auto"/>
              <w:jc w:val="center"/>
              <w:rPr>
                <w:rFonts w:ascii="宋体" w:hAnsi="宋体"/>
                <w:sz w:val="21"/>
                <w:szCs w:val="21"/>
              </w:rPr>
            </w:pPr>
            <w:r>
              <w:rPr>
                <w:rFonts w:hint="eastAsia" w:ascii="宋体" w:hAnsi="宋体" w:cs="宋体"/>
                <w:sz w:val="21"/>
                <w:szCs w:val="21"/>
              </w:rPr>
              <w:t>政府强制采购节能产品</w:t>
            </w:r>
          </w:p>
        </w:tc>
        <w:tc>
          <w:tcPr>
            <w:tcW w:w="4678" w:type="dxa"/>
            <w:vAlign w:val="center"/>
          </w:tcPr>
          <w:p>
            <w:pPr>
              <w:adjustRightInd w:val="0"/>
              <w:snapToGrid w:val="0"/>
              <w:spacing w:line="288" w:lineRule="auto"/>
              <w:jc w:val="center"/>
              <w:rPr>
                <w:rFonts w:ascii="宋体" w:hAnsi="宋体"/>
                <w:sz w:val="21"/>
                <w:szCs w:val="21"/>
              </w:rPr>
            </w:pPr>
            <w:r>
              <w:rPr>
                <w:rFonts w:hint="eastAsia" w:ascii="宋体" w:hAnsi="宋体" w:cs="宋体"/>
                <w:sz w:val="21"/>
                <w:szCs w:val="21"/>
              </w:rPr>
              <w:t>不适用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80" w:type="dxa"/>
            <w:vAlign w:val="center"/>
          </w:tcPr>
          <w:p>
            <w:pPr>
              <w:adjustRightInd w:val="0"/>
              <w:snapToGrid w:val="0"/>
              <w:spacing w:line="288" w:lineRule="auto"/>
              <w:jc w:val="center"/>
              <w:rPr>
                <w:rFonts w:ascii="宋体" w:hAnsi="宋体"/>
                <w:sz w:val="21"/>
                <w:szCs w:val="21"/>
              </w:rPr>
            </w:pPr>
            <w:r>
              <w:rPr>
                <w:rFonts w:hint="eastAsia" w:ascii="宋体" w:hAnsi="宋体" w:cs="宋体"/>
                <w:sz w:val="21"/>
                <w:szCs w:val="21"/>
              </w:rPr>
              <w:t>5</w:t>
            </w:r>
          </w:p>
        </w:tc>
        <w:tc>
          <w:tcPr>
            <w:tcW w:w="4140" w:type="dxa"/>
            <w:vAlign w:val="center"/>
          </w:tcPr>
          <w:p>
            <w:pPr>
              <w:adjustRightInd w:val="0"/>
              <w:snapToGrid w:val="0"/>
              <w:spacing w:line="288" w:lineRule="auto"/>
              <w:jc w:val="center"/>
              <w:rPr>
                <w:rFonts w:ascii="宋体" w:hAnsi="宋体"/>
                <w:sz w:val="21"/>
                <w:szCs w:val="21"/>
              </w:rPr>
            </w:pPr>
            <w:r>
              <w:rPr>
                <w:rFonts w:hint="eastAsia" w:ascii="宋体" w:hAnsi="宋体" w:cs="宋体"/>
                <w:sz w:val="21"/>
                <w:szCs w:val="21"/>
              </w:rPr>
              <w:t>政府优先采购节能、环保产品</w:t>
            </w:r>
          </w:p>
        </w:tc>
        <w:tc>
          <w:tcPr>
            <w:tcW w:w="4678" w:type="dxa"/>
            <w:vAlign w:val="center"/>
          </w:tcPr>
          <w:p>
            <w:pPr>
              <w:adjustRightInd w:val="0"/>
              <w:snapToGrid w:val="0"/>
              <w:spacing w:line="288" w:lineRule="auto"/>
              <w:jc w:val="center"/>
              <w:rPr>
                <w:rFonts w:ascii="宋体" w:hAnsi="宋体"/>
                <w:sz w:val="21"/>
                <w:szCs w:val="21"/>
              </w:rPr>
            </w:pPr>
            <w:r>
              <w:rPr>
                <w:rFonts w:hint="eastAsia" w:ascii="宋体" w:hAnsi="宋体" w:cs="宋体"/>
                <w:sz w:val="21"/>
                <w:szCs w:val="21"/>
              </w:rPr>
              <w:t>不适用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80" w:type="dxa"/>
            <w:vAlign w:val="center"/>
          </w:tcPr>
          <w:p>
            <w:pPr>
              <w:adjustRightInd w:val="0"/>
              <w:snapToGrid w:val="0"/>
              <w:spacing w:line="288" w:lineRule="auto"/>
              <w:jc w:val="center"/>
              <w:rPr>
                <w:rFonts w:ascii="宋体" w:hAnsi="宋体"/>
                <w:sz w:val="21"/>
                <w:szCs w:val="21"/>
              </w:rPr>
            </w:pPr>
            <w:r>
              <w:rPr>
                <w:rFonts w:hint="eastAsia" w:ascii="宋体" w:hAnsi="宋体" w:cs="宋体"/>
                <w:sz w:val="21"/>
                <w:szCs w:val="21"/>
              </w:rPr>
              <w:t>6</w:t>
            </w:r>
          </w:p>
        </w:tc>
        <w:tc>
          <w:tcPr>
            <w:tcW w:w="4140" w:type="dxa"/>
            <w:vAlign w:val="center"/>
          </w:tcPr>
          <w:p>
            <w:pPr>
              <w:adjustRightInd w:val="0"/>
              <w:snapToGrid w:val="0"/>
              <w:spacing w:line="288" w:lineRule="auto"/>
              <w:jc w:val="center"/>
              <w:rPr>
                <w:rFonts w:ascii="宋体" w:hAnsi="宋体"/>
                <w:sz w:val="21"/>
                <w:szCs w:val="21"/>
              </w:rPr>
            </w:pPr>
            <w:r>
              <w:rPr>
                <w:rFonts w:hint="eastAsia" w:ascii="宋体" w:hAnsi="宋体" w:cs="宋体"/>
                <w:sz w:val="21"/>
                <w:szCs w:val="21"/>
              </w:rPr>
              <w:t>政府采购进口产品</w:t>
            </w:r>
          </w:p>
        </w:tc>
        <w:tc>
          <w:tcPr>
            <w:tcW w:w="4678" w:type="dxa"/>
            <w:vAlign w:val="center"/>
          </w:tcPr>
          <w:p>
            <w:pPr>
              <w:adjustRightInd w:val="0"/>
              <w:snapToGrid w:val="0"/>
              <w:spacing w:line="288" w:lineRule="auto"/>
              <w:jc w:val="center"/>
              <w:rPr>
                <w:rFonts w:ascii="宋体" w:hAnsi="宋体"/>
                <w:sz w:val="21"/>
                <w:szCs w:val="21"/>
              </w:rPr>
            </w:pPr>
            <w:r>
              <w:rPr>
                <w:rFonts w:hint="eastAsia" w:ascii="宋体" w:hAnsi="宋体" w:cs="宋体"/>
                <w:sz w:val="21"/>
                <w:szCs w:val="21"/>
              </w:rPr>
              <w:t>不允许采购进口产品</w:t>
            </w:r>
          </w:p>
        </w:tc>
      </w:tr>
    </w:tbl>
    <w:p>
      <w:pPr>
        <w:adjustRightInd w:val="0"/>
        <w:snapToGrid w:val="0"/>
        <w:spacing w:line="288" w:lineRule="auto"/>
        <w:rPr>
          <w:rFonts w:ascii="宋体" w:hAnsi="宋体"/>
          <w:sz w:val="21"/>
          <w:szCs w:val="21"/>
        </w:rPr>
      </w:pPr>
    </w:p>
    <w:p>
      <w:pPr>
        <w:adjustRightInd w:val="0"/>
        <w:snapToGrid w:val="0"/>
        <w:spacing w:line="288" w:lineRule="auto"/>
        <w:ind w:firstLine="422" w:firstLineChars="200"/>
        <w:rPr>
          <w:rFonts w:ascii="宋体" w:hAnsi="宋体"/>
          <w:b/>
          <w:bCs/>
          <w:sz w:val="21"/>
          <w:szCs w:val="21"/>
        </w:rPr>
      </w:pPr>
      <w:r>
        <w:rPr>
          <w:rFonts w:hint="eastAsia" w:ascii="宋体" w:hAnsi="宋体"/>
          <w:b/>
          <w:bCs/>
          <w:sz w:val="21"/>
          <w:szCs w:val="21"/>
        </w:rPr>
        <w:t>采购标的对应的中小企业划分标准所属行业：</w:t>
      </w:r>
      <w:r>
        <w:rPr>
          <w:rFonts w:hint="eastAsia" w:ascii="宋体" w:hAnsi="宋体" w:cs="宋体"/>
          <w:kern w:val="0"/>
          <w:sz w:val="21"/>
          <w:szCs w:val="21"/>
        </w:rPr>
        <w:t>工业。</w:t>
      </w:r>
    </w:p>
    <w:p>
      <w:pPr>
        <w:adjustRightInd w:val="0"/>
        <w:snapToGrid w:val="0"/>
        <w:spacing w:line="288" w:lineRule="auto"/>
        <w:ind w:firstLine="422" w:firstLineChars="200"/>
        <w:rPr>
          <w:rFonts w:ascii="宋体" w:hAnsi="宋体"/>
          <w:b/>
          <w:bCs/>
          <w:sz w:val="21"/>
          <w:szCs w:val="21"/>
        </w:rPr>
      </w:pPr>
      <w:r>
        <w:rPr>
          <w:rFonts w:hint="eastAsia" w:ascii="宋体" w:hAnsi="宋体"/>
          <w:b/>
          <w:bCs/>
          <w:sz w:val="21"/>
          <w:szCs w:val="21"/>
        </w:rPr>
        <w:t>中小企业划型标准：</w:t>
      </w:r>
      <w:r>
        <w:rPr>
          <w:rFonts w:hint="eastAsia" w:ascii="宋体" w:hAnsi="宋体" w:cs="宋体"/>
          <w:kern w:val="0"/>
          <w:sz w:val="21"/>
          <w:szCs w:val="21"/>
        </w:rPr>
        <w:t>从业人员</w:t>
      </w:r>
      <w:r>
        <w:rPr>
          <w:rFonts w:hint="eastAsia" w:ascii="宋体" w:hAnsi="宋体"/>
          <w:kern w:val="0"/>
          <w:sz w:val="21"/>
          <w:szCs w:val="21"/>
        </w:rPr>
        <w:t>1000</w:t>
      </w:r>
      <w:r>
        <w:rPr>
          <w:rFonts w:hint="eastAsia" w:ascii="宋体" w:hAnsi="宋体" w:cs="宋体"/>
          <w:kern w:val="0"/>
          <w:sz w:val="21"/>
          <w:szCs w:val="21"/>
        </w:rPr>
        <w:t>人以下或营业收入</w:t>
      </w:r>
      <w:r>
        <w:rPr>
          <w:rFonts w:hint="eastAsia" w:ascii="宋体" w:hAnsi="宋体"/>
          <w:kern w:val="0"/>
          <w:sz w:val="21"/>
          <w:szCs w:val="21"/>
        </w:rPr>
        <w:t>40000</w:t>
      </w:r>
      <w:r>
        <w:rPr>
          <w:rFonts w:hint="eastAsia" w:ascii="宋体" w:hAnsi="宋体" w:cs="宋体"/>
          <w:kern w:val="0"/>
          <w:sz w:val="21"/>
          <w:szCs w:val="21"/>
        </w:rPr>
        <w:t>万元以下的为中小微型企业。其中，从业人员</w:t>
      </w:r>
      <w:r>
        <w:rPr>
          <w:rFonts w:hint="eastAsia" w:ascii="宋体" w:hAnsi="宋体"/>
          <w:kern w:val="0"/>
          <w:sz w:val="21"/>
          <w:szCs w:val="21"/>
        </w:rPr>
        <w:t>300</w:t>
      </w:r>
      <w:r>
        <w:rPr>
          <w:rFonts w:hint="eastAsia" w:ascii="宋体" w:hAnsi="宋体" w:cs="宋体"/>
          <w:kern w:val="0"/>
          <w:sz w:val="21"/>
          <w:szCs w:val="21"/>
        </w:rPr>
        <w:t>人及以上，且营业收入</w:t>
      </w:r>
      <w:r>
        <w:rPr>
          <w:rFonts w:hint="eastAsia" w:ascii="宋体" w:hAnsi="宋体"/>
          <w:kern w:val="0"/>
          <w:sz w:val="21"/>
          <w:szCs w:val="21"/>
        </w:rPr>
        <w:t>2000</w:t>
      </w:r>
      <w:r>
        <w:rPr>
          <w:rFonts w:hint="eastAsia" w:ascii="宋体" w:hAnsi="宋体" w:cs="宋体"/>
          <w:kern w:val="0"/>
          <w:sz w:val="21"/>
          <w:szCs w:val="21"/>
        </w:rPr>
        <w:t>万元及以上的为中型企业；从业人员</w:t>
      </w:r>
      <w:r>
        <w:rPr>
          <w:rFonts w:hint="eastAsia" w:ascii="宋体" w:hAnsi="宋体"/>
          <w:kern w:val="0"/>
          <w:sz w:val="21"/>
          <w:szCs w:val="21"/>
        </w:rPr>
        <w:t>20</w:t>
      </w:r>
      <w:r>
        <w:rPr>
          <w:rFonts w:hint="eastAsia" w:ascii="宋体" w:hAnsi="宋体" w:cs="宋体"/>
          <w:kern w:val="0"/>
          <w:sz w:val="21"/>
          <w:szCs w:val="21"/>
        </w:rPr>
        <w:t>人及以上，且营业收入</w:t>
      </w:r>
      <w:r>
        <w:rPr>
          <w:rFonts w:hint="eastAsia" w:ascii="宋体" w:hAnsi="宋体"/>
          <w:kern w:val="0"/>
          <w:sz w:val="21"/>
          <w:szCs w:val="21"/>
        </w:rPr>
        <w:t>300</w:t>
      </w:r>
      <w:r>
        <w:rPr>
          <w:rFonts w:hint="eastAsia" w:ascii="宋体" w:hAnsi="宋体" w:cs="宋体"/>
          <w:kern w:val="0"/>
          <w:sz w:val="21"/>
          <w:szCs w:val="21"/>
        </w:rPr>
        <w:t>万元及以上的为小型企业；从业人员</w:t>
      </w:r>
      <w:r>
        <w:rPr>
          <w:rFonts w:hint="eastAsia" w:ascii="宋体" w:hAnsi="宋体"/>
          <w:kern w:val="0"/>
          <w:sz w:val="21"/>
          <w:szCs w:val="21"/>
        </w:rPr>
        <w:t>20</w:t>
      </w:r>
      <w:r>
        <w:rPr>
          <w:rFonts w:hint="eastAsia" w:ascii="宋体" w:hAnsi="宋体" w:cs="宋体"/>
          <w:kern w:val="0"/>
          <w:sz w:val="21"/>
          <w:szCs w:val="21"/>
        </w:rPr>
        <w:t>人以下或营业收入</w:t>
      </w:r>
      <w:r>
        <w:rPr>
          <w:rFonts w:hint="eastAsia" w:ascii="宋体" w:hAnsi="宋体"/>
          <w:kern w:val="0"/>
          <w:sz w:val="21"/>
          <w:szCs w:val="21"/>
        </w:rPr>
        <w:t>300</w:t>
      </w:r>
      <w:r>
        <w:rPr>
          <w:rFonts w:hint="eastAsia" w:ascii="宋体" w:hAnsi="宋体" w:cs="宋体"/>
          <w:kern w:val="0"/>
          <w:sz w:val="21"/>
          <w:szCs w:val="21"/>
        </w:rPr>
        <w:t>万元以下的为微型企业。</w:t>
      </w:r>
    </w:p>
    <w:p>
      <w:pPr>
        <w:adjustRightInd w:val="0"/>
        <w:snapToGrid w:val="0"/>
        <w:spacing w:line="288" w:lineRule="auto"/>
        <w:rPr>
          <w:rFonts w:ascii="宋体" w:hAnsi="宋体"/>
          <w:sz w:val="21"/>
          <w:szCs w:val="21"/>
        </w:rPr>
      </w:pPr>
    </w:p>
    <w:p>
      <w:pPr>
        <w:adjustRightInd w:val="0"/>
        <w:snapToGrid w:val="0"/>
        <w:spacing w:line="288" w:lineRule="auto"/>
        <w:outlineLvl w:val="1"/>
        <w:rPr>
          <w:rFonts w:ascii="宋体" w:hAnsi="宋体"/>
          <w:b/>
          <w:sz w:val="21"/>
          <w:szCs w:val="21"/>
        </w:rPr>
      </w:pPr>
      <w:r>
        <w:rPr>
          <w:rFonts w:hint="eastAsia" w:ascii="宋体" w:hAnsi="宋体"/>
          <w:b/>
          <w:sz w:val="21"/>
          <w:szCs w:val="21"/>
        </w:rPr>
        <w:t>二</w:t>
      </w:r>
      <w:r>
        <w:rPr>
          <w:rFonts w:ascii="宋体" w:hAnsi="宋体"/>
          <w:b/>
          <w:sz w:val="21"/>
          <w:szCs w:val="21"/>
        </w:rPr>
        <w:t>、</w:t>
      </w:r>
      <w:r>
        <w:rPr>
          <w:rFonts w:hint="eastAsia" w:ascii="宋体" w:hAnsi="宋体"/>
          <w:b/>
          <w:sz w:val="21"/>
          <w:szCs w:val="21"/>
        </w:rPr>
        <w:t>采购资金的支付方式、时间、条件：</w:t>
      </w:r>
    </w:p>
    <w:tbl>
      <w:tblPr>
        <w:tblStyle w:val="2"/>
        <w:tblW w:w="9498" w:type="dxa"/>
        <w:tblInd w:w="108" w:type="dxa"/>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1843"/>
        <w:gridCol w:w="7655"/>
      </w:tblGrid>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61" w:hRule="atLeast"/>
        </w:trPr>
        <w:tc>
          <w:tcPr>
            <w:tcW w:w="1843" w:type="dxa"/>
            <w:vAlign w:val="center"/>
          </w:tcPr>
          <w:p>
            <w:pPr>
              <w:adjustRightInd w:val="0"/>
              <w:snapToGrid w:val="0"/>
              <w:spacing w:line="288" w:lineRule="auto"/>
              <w:jc w:val="center"/>
              <w:rPr>
                <w:rFonts w:ascii="宋体" w:hAnsi="宋体"/>
                <w:b/>
                <w:spacing w:val="-6"/>
                <w:sz w:val="21"/>
                <w:szCs w:val="21"/>
              </w:rPr>
            </w:pPr>
            <w:r>
              <w:rPr>
                <w:rFonts w:hint="eastAsia" w:ascii="宋体" w:hAnsi="宋体"/>
                <w:b/>
                <w:spacing w:val="-6"/>
                <w:sz w:val="21"/>
                <w:szCs w:val="21"/>
              </w:rPr>
              <w:t>▲履约保证金</w:t>
            </w:r>
          </w:p>
        </w:tc>
        <w:tc>
          <w:tcPr>
            <w:tcW w:w="7655" w:type="dxa"/>
            <w:vAlign w:val="center"/>
          </w:tcPr>
          <w:p>
            <w:pPr>
              <w:adjustRightInd w:val="0"/>
              <w:snapToGrid w:val="0"/>
              <w:spacing w:line="288" w:lineRule="auto"/>
              <w:rPr>
                <w:rFonts w:ascii="宋体" w:hAnsi="宋体" w:cs="宋体"/>
                <w:spacing w:val="-6"/>
                <w:kern w:val="0"/>
                <w:sz w:val="21"/>
                <w:szCs w:val="21"/>
              </w:rPr>
            </w:pPr>
            <w:r>
              <w:rPr>
                <w:rFonts w:hint="eastAsia" w:ascii="宋体" w:hAnsi="宋体" w:cs="宋体"/>
                <w:spacing w:val="-6"/>
                <w:kern w:val="0"/>
                <w:sz w:val="21"/>
                <w:szCs w:val="21"/>
              </w:rPr>
              <w:t>1.</w:t>
            </w:r>
            <w:bookmarkStart w:id="0" w:name="_Hlk82522812"/>
            <w:r>
              <w:rPr>
                <w:rFonts w:hint="eastAsia" w:ascii="宋体" w:hAnsi="宋体" w:cs="宋体"/>
                <w:spacing w:val="-6"/>
                <w:kern w:val="0"/>
                <w:sz w:val="21"/>
                <w:szCs w:val="21"/>
              </w:rPr>
              <w:t>合同签订后一周内，中标人向采购人提交合同总价</w:t>
            </w:r>
            <w:r>
              <w:rPr>
                <w:rFonts w:ascii="宋体" w:hAnsi="宋体" w:cs="宋体"/>
                <w:spacing w:val="-6"/>
                <w:kern w:val="0"/>
                <w:sz w:val="21"/>
                <w:szCs w:val="21"/>
              </w:rPr>
              <w:t>5%的履约保证金，履约保证金在质保期内无质量问题和维护问题，质保期满</w:t>
            </w:r>
            <w:r>
              <w:rPr>
                <w:rFonts w:hint="eastAsia" w:ascii="宋体" w:hAnsi="宋体" w:cs="宋体"/>
                <w:spacing w:val="-6"/>
                <w:kern w:val="0"/>
                <w:sz w:val="21"/>
                <w:szCs w:val="21"/>
              </w:rPr>
              <w:t>一年</w:t>
            </w:r>
            <w:r>
              <w:rPr>
                <w:rFonts w:ascii="宋体" w:hAnsi="宋体" w:cs="宋体"/>
                <w:spacing w:val="-6"/>
                <w:kern w:val="0"/>
                <w:sz w:val="21"/>
                <w:szCs w:val="21"/>
              </w:rPr>
              <w:t>后，于20个工作日内退还（不计息），逾期退还的，自逾期之日起，向中标人每日偿付合同价款的</w:t>
            </w:r>
            <w:r>
              <w:rPr>
                <w:rFonts w:hint="eastAsia" w:ascii="宋体" w:hAnsi="宋体"/>
                <w:spacing w:val="-6"/>
                <w:sz w:val="21"/>
                <w:szCs w:val="21"/>
              </w:rPr>
              <w:t>0</w:t>
            </w:r>
            <w:r>
              <w:rPr>
                <w:rFonts w:ascii="宋体" w:hAnsi="宋体"/>
                <w:spacing w:val="-6"/>
                <w:sz w:val="21"/>
                <w:szCs w:val="21"/>
              </w:rPr>
              <w:t>.05</w:t>
            </w:r>
            <w:r>
              <w:rPr>
                <w:rFonts w:hint="eastAsia" w:ascii="宋体" w:hAnsi="宋体"/>
                <w:spacing w:val="-6"/>
                <w:sz w:val="21"/>
                <w:szCs w:val="21"/>
              </w:rPr>
              <w:t>%</w:t>
            </w:r>
            <w:r>
              <w:rPr>
                <w:rFonts w:ascii="宋体" w:hAnsi="宋体" w:cs="宋体"/>
                <w:spacing w:val="-6"/>
                <w:kern w:val="0"/>
                <w:sz w:val="21"/>
                <w:szCs w:val="21"/>
              </w:rPr>
              <w:t>的违约金；</w:t>
            </w:r>
            <w:bookmarkEnd w:id="0"/>
          </w:p>
          <w:p>
            <w:pPr>
              <w:adjustRightInd w:val="0"/>
              <w:snapToGrid w:val="0"/>
              <w:spacing w:line="288" w:lineRule="auto"/>
              <w:rPr>
                <w:rFonts w:ascii="宋体" w:hAnsi="宋体"/>
                <w:spacing w:val="-6"/>
                <w:sz w:val="21"/>
                <w:szCs w:val="21"/>
              </w:rPr>
            </w:pPr>
            <w:r>
              <w:rPr>
                <w:rFonts w:hint="eastAsia" w:ascii="宋体" w:hAnsi="宋体" w:cs="宋体"/>
                <w:spacing w:val="-6"/>
                <w:kern w:val="0"/>
                <w:sz w:val="21"/>
                <w:szCs w:val="21"/>
              </w:rPr>
              <w:t>2.提交方式：支票、汇票、本票等非现金形式。</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61" w:hRule="atLeast"/>
        </w:trPr>
        <w:tc>
          <w:tcPr>
            <w:tcW w:w="1843" w:type="dxa"/>
            <w:vAlign w:val="center"/>
          </w:tcPr>
          <w:p>
            <w:pPr>
              <w:adjustRightInd w:val="0"/>
              <w:snapToGrid w:val="0"/>
              <w:spacing w:line="288" w:lineRule="auto"/>
              <w:jc w:val="center"/>
              <w:rPr>
                <w:rFonts w:ascii="宋体" w:hAnsi="宋体"/>
                <w:b/>
                <w:spacing w:val="-6"/>
                <w:sz w:val="21"/>
                <w:szCs w:val="21"/>
              </w:rPr>
            </w:pPr>
            <w:r>
              <w:rPr>
                <w:rFonts w:hint="eastAsia" w:ascii="宋体" w:hAnsi="宋体"/>
                <w:b/>
                <w:spacing w:val="-6"/>
                <w:sz w:val="21"/>
                <w:szCs w:val="21"/>
              </w:rPr>
              <w:t>▲付款方式</w:t>
            </w:r>
          </w:p>
        </w:tc>
        <w:tc>
          <w:tcPr>
            <w:tcW w:w="7655" w:type="dxa"/>
            <w:vAlign w:val="center"/>
          </w:tcPr>
          <w:p>
            <w:pPr>
              <w:adjustRightInd w:val="0"/>
              <w:snapToGrid w:val="0"/>
              <w:spacing w:line="288" w:lineRule="auto"/>
              <w:rPr>
                <w:rFonts w:ascii="宋体" w:hAnsi="宋体"/>
                <w:spacing w:val="-6"/>
                <w:sz w:val="21"/>
                <w:szCs w:val="21"/>
              </w:rPr>
            </w:pPr>
            <w:r>
              <w:rPr>
                <w:rFonts w:hint="eastAsia" w:ascii="宋体" w:hAnsi="宋体" w:cs="宋体"/>
                <w:spacing w:val="-6"/>
                <w:kern w:val="0"/>
                <w:sz w:val="21"/>
                <w:szCs w:val="21"/>
              </w:rPr>
              <w:t>采购合同签订后且中标人已提交履约保证金的，采购人向中标人支付合同总价的</w:t>
            </w:r>
            <w:r>
              <w:rPr>
                <w:rFonts w:ascii="宋体" w:hAnsi="宋体" w:cs="宋体"/>
                <w:spacing w:val="-6"/>
                <w:kern w:val="0"/>
                <w:sz w:val="21"/>
                <w:szCs w:val="21"/>
              </w:rPr>
              <w:t>3</w:t>
            </w:r>
            <w:r>
              <w:rPr>
                <w:rFonts w:hint="eastAsia" w:ascii="宋体" w:hAnsi="宋体" w:cs="宋体"/>
                <w:spacing w:val="-6"/>
                <w:kern w:val="0"/>
                <w:sz w:val="21"/>
                <w:szCs w:val="21"/>
              </w:rPr>
              <w:t>0%；货物送达指定地点，经采购人验收合格，</w:t>
            </w:r>
            <w:r>
              <w:rPr>
                <w:rFonts w:hint="eastAsia" w:ascii="宋体" w:hAnsi="宋体" w:cs="宋体"/>
                <w:kern w:val="0"/>
                <w:sz w:val="21"/>
                <w:szCs w:val="21"/>
              </w:rPr>
              <w:t>自收到中标人发票后5个工作日内支付</w:t>
            </w:r>
            <w:r>
              <w:rPr>
                <w:rFonts w:hint="eastAsia" w:ascii="宋体" w:hAnsi="宋体" w:cs="宋体"/>
                <w:spacing w:val="-6"/>
                <w:kern w:val="0"/>
                <w:sz w:val="21"/>
                <w:szCs w:val="21"/>
              </w:rPr>
              <w:t>合同总价的</w:t>
            </w:r>
            <w:r>
              <w:rPr>
                <w:rFonts w:ascii="宋体" w:hAnsi="宋体" w:cs="宋体"/>
                <w:spacing w:val="-6"/>
                <w:kern w:val="0"/>
                <w:sz w:val="21"/>
                <w:szCs w:val="21"/>
              </w:rPr>
              <w:t>70</w:t>
            </w:r>
            <w:r>
              <w:rPr>
                <w:rFonts w:hint="eastAsia" w:ascii="宋体" w:hAnsi="宋体" w:cs="宋体"/>
                <w:spacing w:val="-6"/>
                <w:kern w:val="0"/>
                <w:sz w:val="21"/>
                <w:szCs w:val="21"/>
              </w:rPr>
              <w:t>%</w:t>
            </w:r>
            <w:r>
              <w:rPr>
                <w:rFonts w:hint="eastAsia" w:ascii="宋体" w:hAnsi="宋体" w:cs="宋体"/>
                <w:kern w:val="0"/>
                <w:sz w:val="21"/>
                <w:szCs w:val="21"/>
              </w:rPr>
              <w:t>到中标人账户。</w:t>
            </w:r>
            <w:r>
              <w:rPr>
                <w:rFonts w:hint="eastAsia" w:ascii="宋体" w:hAnsi="宋体"/>
                <w:spacing w:val="-6"/>
                <w:sz w:val="21"/>
                <w:szCs w:val="21"/>
              </w:rPr>
              <w:t>逾期支付货款的，自逾期之日起，向中标人每日偿付未付价款0</w:t>
            </w:r>
            <w:r>
              <w:rPr>
                <w:rFonts w:ascii="宋体" w:hAnsi="宋体"/>
                <w:spacing w:val="-6"/>
                <w:sz w:val="21"/>
                <w:szCs w:val="21"/>
              </w:rPr>
              <w:t>.05</w:t>
            </w:r>
            <w:r>
              <w:rPr>
                <w:rFonts w:hint="eastAsia" w:ascii="宋体" w:hAnsi="宋体"/>
                <w:spacing w:val="-6"/>
                <w:sz w:val="21"/>
                <w:szCs w:val="21"/>
              </w:rPr>
              <w:t>%的滞纳金。</w:t>
            </w:r>
          </w:p>
        </w:tc>
      </w:tr>
    </w:tbl>
    <w:p>
      <w:pPr>
        <w:adjustRightInd w:val="0"/>
        <w:snapToGrid w:val="0"/>
        <w:spacing w:line="288" w:lineRule="auto"/>
        <w:ind w:left="238" w:hanging="238" w:hangingChars="113"/>
        <w:rPr>
          <w:rFonts w:ascii="宋体" w:hAnsi="宋体"/>
          <w:b/>
          <w:sz w:val="21"/>
          <w:szCs w:val="21"/>
        </w:rPr>
      </w:pPr>
    </w:p>
    <w:p>
      <w:pPr>
        <w:adjustRightInd w:val="0"/>
        <w:snapToGrid w:val="0"/>
        <w:spacing w:line="288" w:lineRule="auto"/>
        <w:ind w:left="238" w:hanging="238" w:hangingChars="113"/>
        <w:outlineLvl w:val="1"/>
        <w:rPr>
          <w:rFonts w:ascii="宋体" w:hAnsi="宋体"/>
          <w:b/>
          <w:sz w:val="21"/>
          <w:szCs w:val="21"/>
        </w:rPr>
      </w:pPr>
      <w:r>
        <w:rPr>
          <w:rFonts w:hint="eastAsia" w:ascii="宋体" w:hAnsi="宋体"/>
          <w:b/>
          <w:sz w:val="21"/>
          <w:szCs w:val="21"/>
        </w:rPr>
        <w:t>三</w:t>
      </w:r>
      <w:r>
        <w:rPr>
          <w:rFonts w:ascii="宋体" w:hAnsi="宋体"/>
          <w:b/>
          <w:sz w:val="21"/>
          <w:szCs w:val="21"/>
        </w:rPr>
        <w:t>、</w:t>
      </w:r>
      <w:r>
        <w:rPr>
          <w:rFonts w:hint="eastAsia" w:ascii="宋体" w:hAnsi="宋体"/>
          <w:b/>
          <w:sz w:val="21"/>
          <w:szCs w:val="21"/>
        </w:rPr>
        <w:t>服务</w:t>
      </w:r>
      <w:r>
        <w:rPr>
          <w:rFonts w:ascii="宋体" w:hAnsi="宋体"/>
          <w:b/>
          <w:sz w:val="21"/>
          <w:szCs w:val="21"/>
        </w:rPr>
        <w:t>要求</w:t>
      </w:r>
      <w:r>
        <w:rPr>
          <w:rFonts w:hint="eastAsia" w:ascii="宋体" w:hAnsi="宋体"/>
          <w:b/>
          <w:spacing w:val="-6"/>
          <w:sz w:val="21"/>
          <w:szCs w:val="21"/>
        </w:rPr>
        <w:t>（技术要求里另有注明的以技术要求为准）</w:t>
      </w:r>
      <w:r>
        <w:rPr>
          <w:rFonts w:ascii="宋体" w:hAnsi="宋体"/>
          <w:b/>
          <w:sz w:val="21"/>
          <w:szCs w:val="21"/>
        </w:rPr>
        <w:t>：</w:t>
      </w:r>
    </w:p>
    <w:tbl>
      <w:tblPr>
        <w:tblStyle w:val="2"/>
        <w:tblW w:w="9498"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843"/>
        <w:gridCol w:w="7655"/>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1843"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jc w:val="center"/>
              <w:rPr>
                <w:rFonts w:ascii="宋体" w:hAnsi="宋体" w:cs="宋体"/>
                <w:b/>
                <w:bCs/>
                <w:sz w:val="21"/>
                <w:szCs w:val="21"/>
              </w:rPr>
            </w:pPr>
            <w:r>
              <w:rPr>
                <w:rFonts w:hint="eastAsia" w:ascii="宋体" w:hAnsi="宋体" w:cs="宋体"/>
                <w:b/>
                <w:bCs/>
                <w:sz w:val="21"/>
                <w:szCs w:val="21"/>
              </w:rPr>
              <w:t>交付时间</w:t>
            </w:r>
          </w:p>
        </w:tc>
        <w:tc>
          <w:tcPr>
            <w:tcW w:w="7655"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rPr>
                <w:rFonts w:ascii="宋体" w:hAnsi="宋体" w:cs="宋体"/>
                <w:sz w:val="21"/>
                <w:szCs w:val="21"/>
              </w:rPr>
            </w:pPr>
            <w:r>
              <w:rPr>
                <w:rFonts w:hint="eastAsia" w:ascii="宋体" w:hAnsi="宋体"/>
                <w:sz w:val="21"/>
                <w:szCs w:val="21"/>
              </w:rPr>
              <w:t>合同签订之日起90天内完成交付</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1843"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jc w:val="center"/>
              <w:rPr>
                <w:rFonts w:ascii="宋体" w:hAnsi="宋体" w:cs="宋体"/>
                <w:b/>
                <w:bCs/>
                <w:sz w:val="21"/>
                <w:szCs w:val="21"/>
              </w:rPr>
            </w:pPr>
            <w:r>
              <w:rPr>
                <w:rFonts w:hint="eastAsia" w:ascii="宋体" w:hAnsi="宋体" w:cs="宋体"/>
                <w:b/>
                <w:bCs/>
                <w:sz w:val="21"/>
                <w:szCs w:val="21"/>
              </w:rPr>
              <w:t>交付地点</w:t>
            </w:r>
          </w:p>
        </w:tc>
        <w:tc>
          <w:tcPr>
            <w:tcW w:w="7655"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rPr>
                <w:rFonts w:ascii="宋体" w:hAnsi="宋体" w:cs="宋体"/>
                <w:sz w:val="21"/>
                <w:szCs w:val="21"/>
              </w:rPr>
            </w:pPr>
            <w:r>
              <w:rPr>
                <w:rFonts w:hint="eastAsia" w:ascii="宋体" w:hAnsi="宋体" w:cs="宋体"/>
                <w:sz w:val="21"/>
                <w:szCs w:val="21"/>
              </w:rPr>
              <w:t>采购人指定地点</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1843"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jc w:val="center"/>
              <w:rPr>
                <w:rFonts w:ascii="宋体" w:hAnsi="宋体" w:cs="宋体"/>
                <w:b/>
                <w:bCs/>
                <w:sz w:val="21"/>
                <w:szCs w:val="21"/>
              </w:rPr>
            </w:pPr>
            <w:r>
              <w:rPr>
                <w:rFonts w:hint="eastAsia" w:ascii="宋体" w:hAnsi="宋体" w:cs="宋体"/>
                <w:b/>
                <w:bCs/>
                <w:sz w:val="21"/>
                <w:szCs w:val="21"/>
              </w:rPr>
              <w:t>质保期</w:t>
            </w:r>
          </w:p>
        </w:tc>
        <w:tc>
          <w:tcPr>
            <w:tcW w:w="7655"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rPr>
                <w:rFonts w:ascii="宋体" w:hAnsi="宋体" w:cs="宋体"/>
                <w:sz w:val="21"/>
                <w:szCs w:val="21"/>
              </w:rPr>
            </w:pPr>
            <w:r>
              <w:rPr>
                <w:rFonts w:ascii="宋体" w:hAnsi="宋体" w:cs="宋体"/>
                <w:sz w:val="21"/>
                <w:szCs w:val="21"/>
              </w:rPr>
              <w:t>3</w:t>
            </w:r>
            <w:r>
              <w:rPr>
                <w:rFonts w:hint="eastAsia" w:ascii="宋体" w:hAnsi="宋体" w:cs="宋体"/>
                <w:sz w:val="21"/>
                <w:szCs w:val="21"/>
              </w:rPr>
              <w:t>年，项目验收合格后开始计算</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1843"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jc w:val="center"/>
              <w:rPr>
                <w:rFonts w:ascii="宋体" w:hAnsi="宋体" w:cs="宋体"/>
                <w:b/>
                <w:bCs/>
                <w:sz w:val="21"/>
                <w:szCs w:val="21"/>
              </w:rPr>
            </w:pPr>
            <w:r>
              <w:rPr>
                <w:rFonts w:hint="eastAsia" w:ascii="宋体" w:hAnsi="宋体" w:cs="宋体"/>
                <w:b/>
                <w:bCs/>
                <w:sz w:val="21"/>
                <w:szCs w:val="21"/>
              </w:rPr>
              <w:t>服务标准、期限、效率</w:t>
            </w:r>
          </w:p>
        </w:tc>
        <w:tc>
          <w:tcPr>
            <w:tcW w:w="7655"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rPr>
                <w:rFonts w:ascii="宋体" w:hAnsi="宋体" w:cs="宋体"/>
                <w:sz w:val="21"/>
                <w:szCs w:val="21"/>
              </w:rPr>
            </w:pPr>
            <w:r>
              <w:rPr>
                <w:rFonts w:ascii="宋体" w:hAnsi="宋体" w:cs="宋体"/>
                <w:sz w:val="21"/>
                <w:szCs w:val="21"/>
              </w:rPr>
              <w:t>1</w:t>
            </w:r>
            <w:r>
              <w:rPr>
                <w:rFonts w:hint="eastAsia" w:ascii="宋体" w:hAnsi="宋体" w:cs="宋体"/>
                <w:sz w:val="21"/>
                <w:szCs w:val="21"/>
              </w:rPr>
              <w:t>.在质保期内，供应商应对货物出现的质量及安全问题负责处理解决并承担一切费用。</w:t>
            </w:r>
          </w:p>
          <w:p>
            <w:pPr>
              <w:adjustRightInd w:val="0"/>
              <w:snapToGrid w:val="0"/>
              <w:spacing w:line="288" w:lineRule="auto"/>
              <w:rPr>
                <w:rFonts w:ascii="宋体" w:hAnsi="宋体" w:cs="宋体"/>
                <w:sz w:val="21"/>
                <w:szCs w:val="21"/>
              </w:rPr>
            </w:pPr>
            <w:r>
              <w:rPr>
                <w:rFonts w:ascii="宋体" w:hAnsi="宋体" w:cs="宋体"/>
                <w:sz w:val="21"/>
                <w:szCs w:val="21"/>
              </w:rPr>
              <w:t>2.</w:t>
            </w:r>
            <w:r>
              <w:rPr>
                <w:rFonts w:hint="eastAsia" w:ascii="宋体" w:hAnsi="宋体" w:cs="宋体"/>
                <w:sz w:val="21"/>
                <w:szCs w:val="21"/>
              </w:rPr>
              <w:t>质保期内出现无法排除的故障，供应商需无条件更换同型号产品。</w:t>
            </w:r>
          </w:p>
          <w:p>
            <w:pPr>
              <w:adjustRightInd w:val="0"/>
              <w:snapToGrid w:val="0"/>
              <w:spacing w:line="288" w:lineRule="auto"/>
              <w:rPr>
                <w:rFonts w:ascii="宋体" w:hAnsi="宋体" w:cs="宋体"/>
                <w:sz w:val="21"/>
                <w:szCs w:val="21"/>
              </w:rPr>
            </w:pPr>
            <w:r>
              <w:rPr>
                <w:rFonts w:ascii="宋体" w:hAnsi="宋体" w:cs="宋体"/>
                <w:sz w:val="21"/>
                <w:szCs w:val="21"/>
              </w:rPr>
              <w:t>3.</w:t>
            </w:r>
            <w:r>
              <w:rPr>
                <w:rFonts w:hint="eastAsia" w:ascii="宋体" w:hAnsi="宋体" w:cs="宋体"/>
                <w:sz w:val="21"/>
                <w:szCs w:val="21"/>
              </w:rPr>
              <w:t>质保期满后，供应商继续为采购人服务，仅收取零配件成本费。</w:t>
            </w:r>
          </w:p>
          <w:p>
            <w:pPr>
              <w:adjustRightInd w:val="0"/>
              <w:snapToGrid w:val="0"/>
              <w:spacing w:line="288" w:lineRule="auto"/>
              <w:rPr>
                <w:rFonts w:ascii="宋体" w:hAnsi="宋体" w:cs="宋体"/>
                <w:sz w:val="21"/>
                <w:szCs w:val="21"/>
              </w:rPr>
            </w:pPr>
            <w:r>
              <w:rPr>
                <w:rFonts w:ascii="宋体" w:hAnsi="宋体" w:cs="宋体"/>
                <w:sz w:val="21"/>
                <w:szCs w:val="21"/>
              </w:rPr>
              <w:t>4.</w:t>
            </w:r>
            <w:r>
              <w:rPr>
                <w:rFonts w:hint="eastAsia" w:ascii="宋体" w:hAnsi="宋体" w:cs="宋体"/>
                <w:sz w:val="21"/>
                <w:szCs w:val="21"/>
              </w:rPr>
              <w:t>因人为因素出现的故障不在免费保修范围内。</w:t>
            </w:r>
          </w:p>
          <w:p>
            <w:pPr>
              <w:adjustRightInd w:val="0"/>
              <w:snapToGrid w:val="0"/>
              <w:spacing w:line="288" w:lineRule="auto"/>
              <w:rPr>
                <w:rFonts w:ascii="宋体" w:hAnsi="宋体" w:cs="宋体"/>
                <w:sz w:val="21"/>
                <w:szCs w:val="21"/>
                <w:u w:val="single"/>
              </w:rPr>
            </w:pPr>
            <w:r>
              <w:rPr>
                <w:rFonts w:ascii="宋体" w:hAnsi="宋体" w:cs="宋体"/>
                <w:sz w:val="21"/>
                <w:szCs w:val="21"/>
              </w:rPr>
              <w:t>5</w:t>
            </w:r>
            <w:r>
              <w:rPr>
                <w:rFonts w:hint="eastAsia" w:ascii="宋体" w:hAnsi="宋体" w:cs="宋体"/>
                <w:sz w:val="21"/>
                <w:szCs w:val="21"/>
              </w:rPr>
              <w:t>.</w:t>
            </w:r>
            <w:r>
              <w:rPr>
                <w:rFonts w:hint="eastAsia" w:ascii="宋体" w:hAnsi="宋体" w:cs="宋体"/>
                <w:sz w:val="21"/>
                <w:szCs w:val="21"/>
                <w:u w:val="single"/>
              </w:rPr>
              <w:t xml:space="preserve">如在使用过程中发生质量问题，供应商维修响应时间： </w:t>
            </w:r>
            <w:r>
              <w:rPr>
                <w:rFonts w:ascii="宋体" w:hAnsi="宋体" w:cs="宋体"/>
                <w:sz w:val="21"/>
                <w:szCs w:val="21"/>
                <w:u w:val="single"/>
              </w:rPr>
              <w:t>2</w:t>
            </w:r>
            <w:r>
              <w:rPr>
                <w:rFonts w:hint="eastAsia" w:ascii="宋体" w:hAnsi="宋体" w:cs="宋体"/>
                <w:sz w:val="21"/>
                <w:szCs w:val="21"/>
                <w:u w:val="single"/>
              </w:rPr>
              <w:t xml:space="preserve"> 小时以内；</w:t>
            </w:r>
          </w:p>
          <w:p>
            <w:pPr>
              <w:adjustRightInd w:val="0"/>
              <w:snapToGrid w:val="0"/>
              <w:spacing w:line="288" w:lineRule="auto"/>
              <w:rPr>
                <w:rFonts w:ascii="宋体" w:hAnsi="宋体" w:cs="宋体"/>
                <w:sz w:val="21"/>
                <w:szCs w:val="21"/>
                <w:u w:val="single"/>
              </w:rPr>
            </w:pPr>
            <w:r>
              <w:rPr>
                <w:rFonts w:hint="eastAsia" w:ascii="宋体" w:hAnsi="宋体" w:cs="宋体"/>
                <w:sz w:val="21"/>
                <w:szCs w:val="21"/>
                <w:u w:val="single"/>
              </w:rPr>
              <w:t>电话技术支持时间：</w:t>
            </w:r>
            <w:r>
              <w:rPr>
                <w:rFonts w:ascii="宋体" w:hAnsi="宋体" w:cs="宋体"/>
                <w:sz w:val="21"/>
                <w:szCs w:val="21"/>
                <w:u w:val="single"/>
              </w:rPr>
              <w:t>2</w:t>
            </w:r>
            <w:r>
              <w:rPr>
                <w:rFonts w:hint="eastAsia" w:ascii="宋体" w:hAnsi="宋体" w:cs="宋体"/>
                <w:sz w:val="21"/>
                <w:szCs w:val="21"/>
                <w:u w:val="single"/>
              </w:rPr>
              <w:t>小时以内；</w:t>
            </w:r>
          </w:p>
          <w:p>
            <w:pPr>
              <w:adjustRightInd w:val="0"/>
              <w:snapToGrid w:val="0"/>
              <w:spacing w:line="288" w:lineRule="auto"/>
              <w:rPr>
                <w:rFonts w:ascii="宋体" w:hAnsi="宋体" w:cs="宋体"/>
                <w:sz w:val="21"/>
                <w:szCs w:val="21"/>
                <w:u w:val="single"/>
              </w:rPr>
            </w:pPr>
            <w:r>
              <w:rPr>
                <w:rFonts w:hint="eastAsia" w:ascii="宋体" w:hAnsi="宋体" w:cs="宋体"/>
                <w:sz w:val="21"/>
                <w:szCs w:val="21"/>
                <w:u w:val="single"/>
              </w:rPr>
              <w:t>若需上门维修，则在：</w:t>
            </w:r>
            <w:r>
              <w:rPr>
                <w:rFonts w:ascii="宋体" w:hAnsi="宋体" w:cs="宋体"/>
                <w:sz w:val="21"/>
                <w:szCs w:val="21"/>
                <w:u w:val="single"/>
              </w:rPr>
              <w:t>48</w:t>
            </w:r>
            <w:r>
              <w:rPr>
                <w:rFonts w:hint="eastAsia" w:ascii="宋体" w:hAnsi="宋体" w:cs="宋体"/>
                <w:sz w:val="21"/>
                <w:szCs w:val="21"/>
                <w:u w:val="single"/>
              </w:rPr>
              <w:t xml:space="preserve"> 小时内到达现场并进行维修；</w:t>
            </w:r>
          </w:p>
          <w:p>
            <w:pPr>
              <w:adjustRightInd w:val="0"/>
              <w:snapToGrid w:val="0"/>
              <w:spacing w:line="288" w:lineRule="auto"/>
              <w:rPr>
                <w:rFonts w:ascii="宋体" w:hAnsi="宋体" w:cs="宋体"/>
                <w:sz w:val="21"/>
                <w:szCs w:val="21"/>
              </w:rPr>
            </w:pPr>
            <w:r>
              <w:rPr>
                <w:rFonts w:ascii="宋体" w:hAnsi="宋体" w:cs="宋体"/>
                <w:sz w:val="21"/>
                <w:szCs w:val="21"/>
              </w:rPr>
              <w:t>6</w:t>
            </w:r>
            <w:r>
              <w:rPr>
                <w:rFonts w:hint="eastAsia" w:ascii="宋体" w:hAnsi="宋体" w:cs="宋体"/>
                <w:sz w:val="21"/>
                <w:szCs w:val="21"/>
              </w:rPr>
              <w:t>.培训：</w:t>
            </w:r>
            <w:r>
              <w:rPr>
                <w:rFonts w:ascii="宋体" w:hAnsi="宋体" w:cs="宋体"/>
                <w:sz w:val="21"/>
                <w:szCs w:val="21"/>
              </w:rPr>
              <w:t xml:space="preserve"> </w:t>
            </w:r>
          </w:p>
          <w:p>
            <w:pPr>
              <w:adjustRightInd w:val="0"/>
              <w:snapToGrid w:val="0"/>
              <w:spacing w:line="288" w:lineRule="auto"/>
              <w:rPr>
                <w:rFonts w:ascii="宋体" w:hAnsi="宋体" w:cs="宋体"/>
                <w:sz w:val="21"/>
                <w:szCs w:val="21"/>
              </w:rPr>
            </w:pPr>
            <w:r>
              <w:rPr>
                <w:rFonts w:hint="eastAsia" w:ascii="宋体" w:hAnsi="宋体" w:cs="宋体"/>
                <w:sz w:val="21"/>
                <w:szCs w:val="21"/>
              </w:rPr>
              <w:t>供应商应对采购人的操作人员、维修人员免费进行培训；</w:t>
            </w:r>
          </w:p>
          <w:p>
            <w:pPr>
              <w:adjustRightInd w:val="0"/>
              <w:snapToGrid w:val="0"/>
              <w:spacing w:line="288" w:lineRule="auto"/>
              <w:rPr>
                <w:rFonts w:ascii="宋体" w:hAnsi="宋体" w:cs="宋体"/>
                <w:sz w:val="21"/>
                <w:szCs w:val="21"/>
              </w:rPr>
            </w:pPr>
            <w:r>
              <w:rPr>
                <w:rFonts w:hint="eastAsia" w:ascii="宋体" w:hAnsi="宋体" w:cs="宋体"/>
                <w:sz w:val="21"/>
                <w:szCs w:val="21"/>
              </w:rPr>
              <w:t>供应商应提供相应的培训计划；</w:t>
            </w:r>
          </w:p>
          <w:p>
            <w:pPr>
              <w:adjustRightInd w:val="0"/>
              <w:snapToGrid w:val="0"/>
              <w:spacing w:line="288" w:lineRule="auto"/>
              <w:rPr>
                <w:rFonts w:ascii="宋体" w:hAnsi="宋体" w:cs="宋体"/>
                <w:sz w:val="21"/>
                <w:szCs w:val="21"/>
              </w:rPr>
            </w:pPr>
            <w:r>
              <w:rPr>
                <w:rFonts w:hint="eastAsia" w:ascii="宋体" w:hAnsi="宋体" w:cs="宋体"/>
                <w:sz w:val="21"/>
                <w:szCs w:val="21"/>
              </w:rPr>
              <w:t>上述内容的实现方式、时间、地点、人数应在投标文件中详细说明。</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1843"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jc w:val="center"/>
              <w:rPr>
                <w:rFonts w:ascii="宋体" w:hAnsi="宋体" w:cs="宋体"/>
                <w:b/>
                <w:bCs/>
                <w:sz w:val="21"/>
                <w:szCs w:val="21"/>
              </w:rPr>
            </w:pPr>
            <w:r>
              <w:rPr>
                <w:rFonts w:hint="eastAsia" w:ascii="宋体" w:hAnsi="宋体" w:cs="宋体"/>
                <w:b/>
                <w:bCs/>
                <w:sz w:val="21"/>
                <w:szCs w:val="21"/>
              </w:rPr>
              <w:t>其他技术、服务要求</w:t>
            </w:r>
          </w:p>
        </w:tc>
        <w:tc>
          <w:tcPr>
            <w:tcW w:w="7655"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rPr>
                <w:rFonts w:ascii="宋体" w:hAnsi="宋体" w:cs="宋体"/>
                <w:sz w:val="21"/>
                <w:szCs w:val="21"/>
              </w:rPr>
            </w:pPr>
            <w:r>
              <w:rPr>
                <w:rFonts w:hint="eastAsia" w:ascii="宋体" w:hAnsi="宋体" w:cs="宋体"/>
                <w:sz w:val="21"/>
                <w:szCs w:val="21"/>
              </w:rPr>
              <w:t>1</w:t>
            </w:r>
            <w:r>
              <w:rPr>
                <w:rFonts w:ascii="宋体" w:hAnsi="宋体" w:cs="宋体"/>
                <w:sz w:val="21"/>
                <w:szCs w:val="21"/>
              </w:rPr>
              <w:t>.</w:t>
            </w:r>
            <w:r>
              <w:rPr>
                <w:rFonts w:hint="eastAsia" w:ascii="宋体" w:hAnsi="宋体" w:cs="宋体"/>
                <w:sz w:val="21"/>
                <w:szCs w:val="21"/>
              </w:rPr>
              <w:t>供应商应按招标文件规定的货物性能、技术要求、质量标准向采购人提供未经使用的全新产品，符合国家法律规定和技术规格、质量标准的出厂原装合格产品。</w:t>
            </w:r>
          </w:p>
          <w:p>
            <w:pPr>
              <w:adjustRightInd w:val="0"/>
              <w:snapToGrid w:val="0"/>
              <w:spacing w:line="288" w:lineRule="auto"/>
              <w:rPr>
                <w:rFonts w:ascii="宋体" w:hAnsi="宋体" w:cs="宋体"/>
                <w:sz w:val="21"/>
                <w:szCs w:val="21"/>
              </w:rPr>
            </w:pPr>
            <w:r>
              <w:rPr>
                <w:rFonts w:ascii="宋体" w:hAnsi="宋体" w:cs="宋体"/>
                <w:sz w:val="21"/>
                <w:szCs w:val="21"/>
              </w:rPr>
              <w:t>2</w:t>
            </w:r>
            <w:r>
              <w:rPr>
                <w:rFonts w:hint="eastAsia" w:ascii="宋体" w:hAnsi="宋体" w:cs="宋体"/>
                <w:sz w:val="21"/>
                <w:szCs w:val="21"/>
              </w:rPr>
              <w:t>.技术支持：</w:t>
            </w:r>
          </w:p>
          <w:p>
            <w:pPr>
              <w:adjustRightInd w:val="0"/>
              <w:snapToGrid w:val="0"/>
              <w:spacing w:line="288" w:lineRule="auto"/>
              <w:rPr>
                <w:rFonts w:ascii="宋体" w:hAnsi="宋体" w:cs="宋体"/>
                <w:sz w:val="21"/>
                <w:szCs w:val="21"/>
              </w:rPr>
            </w:pPr>
            <w:r>
              <w:rPr>
                <w:rFonts w:hint="eastAsia" w:ascii="宋体" w:hAnsi="宋体" w:cs="宋体"/>
                <w:sz w:val="21"/>
                <w:szCs w:val="21"/>
              </w:rPr>
              <w:t>供应商应及时免费提供合同货物软件的升级，免费提供合同货物新功能和应用的资料。</w:t>
            </w:r>
          </w:p>
          <w:p>
            <w:pPr>
              <w:adjustRightInd w:val="0"/>
              <w:snapToGrid w:val="0"/>
              <w:spacing w:line="288" w:lineRule="auto"/>
              <w:rPr>
                <w:rFonts w:ascii="宋体" w:hAnsi="宋体" w:cs="宋体"/>
                <w:sz w:val="21"/>
                <w:szCs w:val="21"/>
              </w:rPr>
            </w:pPr>
            <w:r>
              <w:rPr>
                <w:rFonts w:ascii="宋体" w:hAnsi="宋体" w:cs="宋体"/>
                <w:sz w:val="21"/>
                <w:szCs w:val="21"/>
              </w:rPr>
              <w:t>3</w:t>
            </w:r>
            <w:r>
              <w:rPr>
                <w:rFonts w:hint="eastAsia" w:ascii="宋体" w:hAnsi="宋体" w:cs="宋体"/>
                <w:sz w:val="21"/>
                <w:szCs w:val="21"/>
              </w:rPr>
              <w:t>.安装调试：</w:t>
            </w:r>
          </w:p>
          <w:p>
            <w:pPr>
              <w:adjustRightInd w:val="0"/>
              <w:snapToGrid w:val="0"/>
              <w:spacing w:line="288" w:lineRule="auto"/>
              <w:rPr>
                <w:rFonts w:ascii="宋体" w:hAnsi="宋体" w:cs="宋体"/>
                <w:sz w:val="21"/>
                <w:szCs w:val="21"/>
              </w:rPr>
            </w:pPr>
            <w:r>
              <w:rPr>
                <w:rFonts w:ascii="宋体" w:hAnsi="宋体" w:cs="宋体"/>
                <w:sz w:val="21"/>
                <w:szCs w:val="21"/>
              </w:rPr>
              <w:t>3</w:t>
            </w:r>
            <w:r>
              <w:rPr>
                <w:rFonts w:hint="eastAsia" w:ascii="宋体" w:hAnsi="宋体" w:cs="宋体"/>
                <w:sz w:val="21"/>
                <w:szCs w:val="21"/>
              </w:rPr>
              <w:t>.1安装地点：采购人指定地点；</w:t>
            </w:r>
          </w:p>
          <w:p>
            <w:pPr>
              <w:adjustRightInd w:val="0"/>
              <w:snapToGrid w:val="0"/>
              <w:spacing w:line="288" w:lineRule="auto"/>
              <w:rPr>
                <w:rFonts w:ascii="宋体" w:hAnsi="宋体" w:cs="宋体"/>
                <w:sz w:val="21"/>
                <w:szCs w:val="21"/>
              </w:rPr>
            </w:pPr>
            <w:r>
              <w:rPr>
                <w:rFonts w:ascii="宋体" w:hAnsi="宋体" w:cs="宋体"/>
                <w:sz w:val="21"/>
                <w:szCs w:val="21"/>
              </w:rPr>
              <w:t>3</w:t>
            </w:r>
            <w:r>
              <w:rPr>
                <w:rFonts w:hint="eastAsia" w:ascii="宋体" w:hAnsi="宋体" w:cs="宋体"/>
                <w:sz w:val="21"/>
                <w:szCs w:val="21"/>
              </w:rPr>
              <w:t>.2安装完成时间：接到采购人通知后在规定时间内完成安装和调试，如在规定的时间内由于供应商的原因不能完成安装和调试，供应商应承担由此给采购人造成的损失；</w:t>
            </w:r>
          </w:p>
          <w:p>
            <w:pPr>
              <w:adjustRightInd w:val="0"/>
              <w:snapToGrid w:val="0"/>
              <w:spacing w:line="288" w:lineRule="auto"/>
              <w:rPr>
                <w:rFonts w:ascii="宋体" w:hAnsi="宋体" w:cs="宋体"/>
                <w:sz w:val="21"/>
                <w:szCs w:val="21"/>
              </w:rPr>
            </w:pPr>
            <w:r>
              <w:rPr>
                <w:rFonts w:ascii="宋体" w:hAnsi="宋体" w:cs="宋体"/>
                <w:sz w:val="21"/>
                <w:szCs w:val="21"/>
              </w:rPr>
              <w:t>3</w:t>
            </w:r>
            <w:r>
              <w:rPr>
                <w:rFonts w:hint="eastAsia" w:ascii="宋体" w:hAnsi="宋体" w:cs="宋体"/>
                <w:sz w:val="21"/>
                <w:szCs w:val="21"/>
              </w:rPr>
              <w:t>.3如供应商委托国内代理（或其他机构）负责安装或配合安装应在签约时指明，但供应商仍要对合同货物及其安装质量负全部责任；</w:t>
            </w:r>
          </w:p>
          <w:p>
            <w:pPr>
              <w:adjustRightInd w:val="0"/>
              <w:snapToGrid w:val="0"/>
              <w:spacing w:line="288" w:lineRule="auto"/>
              <w:rPr>
                <w:rFonts w:ascii="宋体" w:hAnsi="宋体" w:cs="宋体"/>
                <w:sz w:val="21"/>
                <w:szCs w:val="21"/>
              </w:rPr>
            </w:pPr>
            <w:r>
              <w:rPr>
                <w:rFonts w:ascii="宋体" w:hAnsi="宋体" w:cs="宋体"/>
                <w:sz w:val="21"/>
                <w:szCs w:val="21"/>
              </w:rPr>
              <w:t>3</w:t>
            </w:r>
            <w:r>
              <w:rPr>
                <w:rFonts w:hint="eastAsia" w:ascii="宋体" w:hAnsi="宋体" w:cs="宋体"/>
                <w:sz w:val="21"/>
                <w:szCs w:val="21"/>
              </w:rPr>
              <w:t>.4安装标准：符合我国国家有关技术规范要求和技术标准，所有的软件和硬件必须保证同时安装到位；</w:t>
            </w:r>
          </w:p>
          <w:p>
            <w:pPr>
              <w:adjustRightInd w:val="0"/>
              <w:snapToGrid w:val="0"/>
              <w:spacing w:line="288" w:lineRule="auto"/>
              <w:rPr>
                <w:rFonts w:ascii="宋体" w:hAnsi="宋体" w:cs="宋体"/>
                <w:sz w:val="21"/>
                <w:szCs w:val="21"/>
              </w:rPr>
            </w:pPr>
            <w:r>
              <w:rPr>
                <w:rFonts w:ascii="宋体" w:hAnsi="宋体" w:cs="宋体"/>
                <w:sz w:val="21"/>
                <w:szCs w:val="21"/>
              </w:rPr>
              <w:t>3</w:t>
            </w:r>
            <w:r>
              <w:rPr>
                <w:rFonts w:hint="eastAsia" w:ascii="宋体" w:hAnsi="宋体" w:cs="宋体"/>
                <w:sz w:val="21"/>
                <w:szCs w:val="21"/>
              </w:rPr>
              <w:t>.5供应商免费提供合同货物的安装服务；</w:t>
            </w:r>
          </w:p>
          <w:p>
            <w:pPr>
              <w:adjustRightInd w:val="0"/>
              <w:snapToGrid w:val="0"/>
              <w:spacing w:line="288" w:lineRule="auto"/>
              <w:rPr>
                <w:rFonts w:ascii="宋体" w:hAnsi="宋体" w:cs="宋体"/>
                <w:sz w:val="21"/>
                <w:szCs w:val="21"/>
              </w:rPr>
            </w:pPr>
            <w:r>
              <w:rPr>
                <w:rFonts w:ascii="宋体" w:hAnsi="宋体" w:cs="宋体"/>
                <w:sz w:val="21"/>
                <w:szCs w:val="21"/>
              </w:rPr>
              <w:t>3</w:t>
            </w:r>
            <w:r>
              <w:rPr>
                <w:rFonts w:hint="eastAsia" w:ascii="宋体" w:hAnsi="宋体" w:cs="宋体"/>
                <w:sz w:val="21"/>
                <w:szCs w:val="21"/>
              </w:rPr>
              <w:t>.6供应商在投标文件中应提供安装调试计划、对安装场地和环境的要求。</w:t>
            </w:r>
          </w:p>
          <w:p>
            <w:pPr>
              <w:adjustRightInd w:val="0"/>
              <w:snapToGrid w:val="0"/>
              <w:spacing w:line="288" w:lineRule="auto"/>
              <w:rPr>
                <w:rFonts w:ascii="宋体" w:hAnsi="宋体" w:cs="宋体"/>
                <w:sz w:val="21"/>
                <w:szCs w:val="21"/>
              </w:rPr>
            </w:pPr>
            <w:r>
              <w:rPr>
                <w:rFonts w:ascii="宋体" w:hAnsi="宋体" w:cs="宋体"/>
                <w:sz w:val="21"/>
                <w:szCs w:val="21"/>
              </w:rPr>
              <w:t>4</w:t>
            </w:r>
            <w:r>
              <w:rPr>
                <w:rFonts w:hint="eastAsia" w:ascii="宋体" w:hAnsi="宋体" w:cs="宋体"/>
                <w:sz w:val="21"/>
                <w:szCs w:val="21"/>
              </w:rPr>
              <w:t>.供应商应提供质保期满后主要零部件报价单、质保期满后维护费、软件升级及其相关服务内容；</w:t>
            </w:r>
          </w:p>
          <w:p>
            <w:pPr>
              <w:adjustRightInd w:val="0"/>
              <w:snapToGrid w:val="0"/>
              <w:spacing w:line="288" w:lineRule="auto"/>
              <w:rPr>
                <w:rFonts w:ascii="宋体" w:hAnsi="宋体" w:cs="宋体"/>
                <w:sz w:val="21"/>
                <w:szCs w:val="21"/>
              </w:rPr>
            </w:pPr>
            <w:r>
              <w:rPr>
                <w:rFonts w:ascii="宋体" w:hAnsi="宋体" w:cs="宋体"/>
                <w:sz w:val="21"/>
                <w:szCs w:val="21"/>
              </w:rPr>
              <w:t>5</w:t>
            </w:r>
            <w:r>
              <w:rPr>
                <w:rFonts w:hint="eastAsia" w:ascii="宋体" w:hAnsi="宋体" w:cs="宋体"/>
                <w:sz w:val="21"/>
                <w:szCs w:val="21"/>
              </w:rPr>
              <w:t>.供货时提供有关的全套技术文件。</w:t>
            </w:r>
          </w:p>
          <w:p>
            <w:pPr>
              <w:adjustRightInd w:val="0"/>
              <w:snapToGrid w:val="0"/>
              <w:spacing w:line="288" w:lineRule="auto"/>
              <w:rPr>
                <w:rFonts w:ascii="宋体" w:hAnsi="宋体" w:cs="宋体"/>
                <w:sz w:val="21"/>
                <w:szCs w:val="21"/>
              </w:rPr>
            </w:pPr>
            <w:r>
              <w:rPr>
                <w:rFonts w:hint="eastAsia" w:ascii="宋体" w:hAnsi="宋体" w:cs="宋体"/>
                <w:sz w:val="21"/>
                <w:szCs w:val="21"/>
              </w:rPr>
              <w:t>6</w:t>
            </w:r>
            <w:r>
              <w:rPr>
                <w:rFonts w:ascii="宋体" w:hAnsi="宋体" w:cs="宋体"/>
                <w:sz w:val="21"/>
                <w:szCs w:val="21"/>
              </w:rPr>
              <w:t>.</w:t>
            </w:r>
            <w:r>
              <w:rPr>
                <w:rFonts w:hint="eastAsia" w:ascii="宋体" w:hAnsi="宋体"/>
                <w:spacing w:val="-6"/>
                <w:sz w:val="21"/>
                <w:szCs w:val="21"/>
              </w:rPr>
              <w:t>供应商应保证所提供的货物或其中任何一部分均不会侵犯第三方的知识产权。</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1843"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jc w:val="center"/>
              <w:rPr>
                <w:rFonts w:ascii="宋体" w:hAnsi="宋体" w:cs="宋体"/>
                <w:b/>
                <w:bCs/>
                <w:sz w:val="21"/>
                <w:szCs w:val="21"/>
              </w:rPr>
            </w:pPr>
            <w:r>
              <w:rPr>
                <w:rFonts w:hint="eastAsia" w:ascii="宋体" w:hAnsi="宋体" w:cs="宋体"/>
                <w:b/>
                <w:bCs/>
                <w:sz w:val="21"/>
                <w:szCs w:val="21"/>
              </w:rPr>
              <w:t>验收标准</w:t>
            </w:r>
          </w:p>
        </w:tc>
        <w:tc>
          <w:tcPr>
            <w:tcW w:w="7655"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rPr>
                <w:rFonts w:ascii="宋体" w:hAnsi="宋体" w:cs="宋体"/>
                <w:sz w:val="21"/>
                <w:szCs w:val="21"/>
              </w:rPr>
            </w:pPr>
            <w:r>
              <w:rPr>
                <w:rFonts w:hint="eastAsia" w:ascii="宋体" w:hAnsi="宋体" w:cs="宋体"/>
                <w:sz w:val="21"/>
                <w:szCs w:val="21"/>
              </w:rPr>
              <w:t>1.验收由采购人负责实施；</w:t>
            </w:r>
          </w:p>
          <w:p>
            <w:pPr>
              <w:adjustRightInd w:val="0"/>
              <w:snapToGrid w:val="0"/>
              <w:spacing w:line="288" w:lineRule="auto"/>
              <w:rPr>
                <w:rFonts w:ascii="宋体" w:hAnsi="宋体" w:cs="宋体"/>
                <w:sz w:val="21"/>
                <w:szCs w:val="21"/>
              </w:rPr>
            </w:pPr>
            <w:r>
              <w:rPr>
                <w:rFonts w:hint="eastAsia" w:ascii="宋体" w:hAnsi="宋体" w:cs="宋体"/>
                <w:sz w:val="21"/>
                <w:szCs w:val="21"/>
              </w:rPr>
              <w:t>2.验收依据：</w:t>
            </w:r>
          </w:p>
          <w:p>
            <w:pPr>
              <w:adjustRightInd w:val="0"/>
              <w:snapToGrid w:val="0"/>
              <w:spacing w:line="288" w:lineRule="auto"/>
              <w:rPr>
                <w:rFonts w:ascii="宋体" w:hAnsi="宋体" w:cs="宋体"/>
                <w:sz w:val="21"/>
                <w:szCs w:val="21"/>
              </w:rPr>
            </w:pPr>
            <w:r>
              <w:rPr>
                <w:rFonts w:hint="eastAsia" w:ascii="宋体" w:hAnsi="宋体" w:cs="宋体"/>
                <w:sz w:val="21"/>
                <w:szCs w:val="21"/>
              </w:rPr>
              <w:t>2.1合同、招标文件、投标文件；</w:t>
            </w:r>
          </w:p>
          <w:p>
            <w:pPr>
              <w:adjustRightInd w:val="0"/>
              <w:snapToGrid w:val="0"/>
              <w:spacing w:line="288" w:lineRule="auto"/>
              <w:rPr>
                <w:rFonts w:ascii="宋体" w:hAnsi="宋体" w:cs="宋体"/>
                <w:sz w:val="21"/>
                <w:szCs w:val="21"/>
              </w:rPr>
            </w:pPr>
            <w:r>
              <w:rPr>
                <w:rFonts w:hint="eastAsia" w:ascii="宋体" w:hAnsi="宋体" w:cs="宋体"/>
                <w:sz w:val="21"/>
                <w:szCs w:val="21"/>
              </w:rPr>
              <w:t>2.2供应商提供的技术规格、经采购人认可的合同货物的有效检验文件；</w:t>
            </w:r>
          </w:p>
          <w:p>
            <w:pPr>
              <w:adjustRightInd w:val="0"/>
              <w:snapToGrid w:val="0"/>
              <w:spacing w:line="288" w:lineRule="auto"/>
              <w:rPr>
                <w:rFonts w:ascii="宋体" w:hAnsi="宋体" w:cs="宋体"/>
                <w:sz w:val="21"/>
                <w:szCs w:val="21"/>
              </w:rPr>
            </w:pPr>
            <w:r>
              <w:rPr>
                <w:rFonts w:hint="eastAsia" w:ascii="宋体" w:hAnsi="宋体" w:cs="宋体"/>
                <w:sz w:val="21"/>
                <w:szCs w:val="21"/>
              </w:rPr>
              <w:t>2.3供应商投标文件中提供的经采购人认可的合同货物的验收标准（符合中国有关的国家、地方、行业标准）和检测办法及相应检测手段。</w:t>
            </w:r>
          </w:p>
          <w:p>
            <w:pPr>
              <w:adjustRightInd w:val="0"/>
              <w:snapToGrid w:val="0"/>
              <w:spacing w:line="288" w:lineRule="auto"/>
              <w:rPr>
                <w:rFonts w:ascii="宋体" w:hAnsi="宋体" w:cs="宋体"/>
                <w:sz w:val="21"/>
                <w:szCs w:val="21"/>
              </w:rPr>
            </w:pPr>
            <w:r>
              <w:rPr>
                <w:rFonts w:hint="eastAsia" w:ascii="宋体" w:hAnsi="宋体" w:cs="宋体"/>
                <w:sz w:val="21"/>
                <w:szCs w:val="21"/>
              </w:rPr>
              <w:t>3.供应商应派员在所供货物到采购人处时进行到货验收，有需要时能联系产品制造商到场共同验收，若发现任何损坏及质量问题，供应商负责妥善处理直至采购人满意，由此产生的费用由供应商承担。</w:t>
            </w:r>
          </w:p>
          <w:p>
            <w:pPr>
              <w:adjustRightInd w:val="0"/>
              <w:snapToGrid w:val="0"/>
              <w:spacing w:line="288" w:lineRule="auto"/>
              <w:rPr>
                <w:rFonts w:ascii="宋体" w:hAnsi="宋体" w:cs="宋体"/>
                <w:sz w:val="21"/>
                <w:szCs w:val="21"/>
              </w:rPr>
            </w:pPr>
            <w:r>
              <w:rPr>
                <w:rFonts w:hint="eastAsia" w:ascii="宋体" w:hAnsi="宋体" w:cs="宋体"/>
                <w:sz w:val="21"/>
                <w:szCs w:val="21"/>
              </w:rPr>
              <w:t>4.验收合格的条件：</w:t>
            </w:r>
          </w:p>
          <w:p>
            <w:pPr>
              <w:adjustRightInd w:val="0"/>
              <w:snapToGrid w:val="0"/>
              <w:spacing w:line="288" w:lineRule="auto"/>
              <w:rPr>
                <w:rFonts w:ascii="宋体" w:hAnsi="宋体" w:cs="宋体"/>
                <w:sz w:val="21"/>
                <w:szCs w:val="21"/>
              </w:rPr>
            </w:pPr>
            <w:r>
              <w:rPr>
                <w:rFonts w:hint="eastAsia" w:ascii="宋体" w:hAnsi="宋体" w:cs="宋体"/>
                <w:sz w:val="21"/>
                <w:szCs w:val="21"/>
              </w:rPr>
              <w:t>4.1所供货物符合产品标准和及合同的要求；</w:t>
            </w:r>
          </w:p>
          <w:p>
            <w:pPr>
              <w:adjustRightInd w:val="0"/>
              <w:snapToGrid w:val="0"/>
              <w:spacing w:line="288" w:lineRule="auto"/>
              <w:rPr>
                <w:rFonts w:ascii="宋体" w:hAnsi="宋体" w:cs="宋体"/>
                <w:sz w:val="21"/>
                <w:szCs w:val="21"/>
              </w:rPr>
            </w:pPr>
            <w:r>
              <w:rPr>
                <w:rFonts w:hint="eastAsia" w:ascii="宋体" w:hAnsi="宋体" w:cs="宋体"/>
                <w:sz w:val="21"/>
                <w:szCs w:val="21"/>
              </w:rPr>
              <w:t>4.2在进行测试和验收过程中发现的问题已被解决并得到采购人的认可；</w:t>
            </w:r>
          </w:p>
          <w:p>
            <w:pPr>
              <w:adjustRightInd w:val="0"/>
              <w:snapToGrid w:val="0"/>
              <w:spacing w:line="288" w:lineRule="auto"/>
              <w:rPr>
                <w:rFonts w:ascii="宋体" w:hAnsi="宋体" w:cs="宋体"/>
                <w:sz w:val="21"/>
                <w:szCs w:val="21"/>
              </w:rPr>
            </w:pPr>
            <w:r>
              <w:rPr>
                <w:rFonts w:hint="eastAsia" w:ascii="宋体" w:hAnsi="宋体" w:cs="宋体"/>
                <w:sz w:val="21"/>
                <w:szCs w:val="21"/>
              </w:rPr>
              <w:t>4.3合同中规定的所有货物和材料均已交付；</w:t>
            </w:r>
          </w:p>
          <w:p>
            <w:pPr>
              <w:adjustRightInd w:val="0"/>
              <w:snapToGrid w:val="0"/>
              <w:spacing w:line="288" w:lineRule="auto"/>
              <w:rPr>
                <w:rFonts w:ascii="宋体" w:hAnsi="宋体" w:cs="宋体"/>
                <w:sz w:val="21"/>
                <w:szCs w:val="21"/>
              </w:rPr>
            </w:pPr>
            <w:r>
              <w:rPr>
                <w:rFonts w:hint="eastAsia" w:ascii="宋体" w:hAnsi="宋体" w:cs="宋体"/>
                <w:sz w:val="21"/>
                <w:szCs w:val="21"/>
              </w:rPr>
              <w:t>4.4所供货物已通过使用单位组织的验收；</w:t>
            </w:r>
          </w:p>
          <w:p>
            <w:pPr>
              <w:adjustRightInd w:val="0"/>
              <w:snapToGrid w:val="0"/>
              <w:spacing w:line="288" w:lineRule="auto"/>
              <w:rPr>
                <w:rFonts w:ascii="宋体" w:hAnsi="宋体" w:cs="宋体"/>
                <w:sz w:val="21"/>
                <w:szCs w:val="21"/>
              </w:rPr>
            </w:pPr>
            <w:r>
              <w:rPr>
                <w:rFonts w:hint="eastAsia" w:ascii="宋体" w:hAnsi="宋体" w:cs="宋体"/>
                <w:sz w:val="21"/>
                <w:szCs w:val="21"/>
              </w:rPr>
              <w:t>4.5所有相关的技术文件及资料均已提交并得到接受。</w:t>
            </w:r>
          </w:p>
        </w:tc>
      </w:tr>
    </w:tbl>
    <w:p>
      <w:pPr>
        <w:adjustRightInd w:val="0"/>
        <w:snapToGrid w:val="0"/>
        <w:spacing w:line="288" w:lineRule="auto"/>
        <w:ind w:left="238" w:hanging="238" w:hangingChars="113"/>
        <w:rPr>
          <w:rFonts w:ascii="宋体" w:hAnsi="宋体"/>
          <w:b/>
          <w:sz w:val="21"/>
          <w:szCs w:val="21"/>
        </w:rPr>
      </w:pPr>
    </w:p>
    <w:p>
      <w:pPr>
        <w:adjustRightInd w:val="0"/>
        <w:snapToGrid w:val="0"/>
        <w:spacing w:line="288" w:lineRule="auto"/>
        <w:ind w:left="238" w:hanging="238" w:hangingChars="113"/>
        <w:outlineLvl w:val="1"/>
        <w:rPr>
          <w:rFonts w:ascii="宋体" w:hAnsi="宋体"/>
          <w:b/>
          <w:sz w:val="21"/>
          <w:szCs w:val="21"/>
        </w:rPr>
      </w:pPr>
      <w:r>
        <w:rPr>
          <w:rFonts w:hint="eastAsia" w:ascii="宋体" w:hAnsi="宋体"/>
          <w:b/>
          <w:sz w:val="21"/>
          <w:szCs w:val="21"/>
        </w:rPr>
        <w:t>四</w:t>
      </w:r>
      <w:r>
        <w:rPr>
          <w:rFonts w:ascii="宋体" w:hAnsi="宋体"/>
          <w:b/>
          <w:sz w:val="21"/>
          <w:szCs w:val="21"/>
        </w:rPr>
        <w:t>、技术要求</w:t>
      </w:r>
    </w:p>
    <w:p>
      <w:pPr>
        <w:adjustRightInd w:val="0"/>
        <w:snapToGrid w:val="0"/>
        <w:spacing w:line="288" w:lineRule="auto"/>
        <w:rPr>
          <w:rFonts w:ascii="宋体" w:hAnsi="宋体"/>
          <w:sz w:val="21"/>
          <w:szCs w:val="21"/>
        </w:rPr>
      </w:pPr>
    </w:p>
    <w:p>
      <w:pPr>
        <w:adjustRightInd w:val="0"/>
        <w:snapToGrid w:val="0"/>
        <w:spacing w:line="288" w:lineRule="auto"/>
        <w:rPr>
          <w:rFonts w:ascii="宋体" w:hAnsi="宋体" w:cs="宋体"/>
          <w:b/>
          <w:bCs/>
          <w:sz w:val="21"/>
          <w:szCs w:val="21"/>
        </w:rPr>
      </w:pPr>
      <w:r>
        <w:rPr>
          <w:rFonts w:hint="eastAsia" w:ascii="宋体" w:hAnsi="宋体" w:cs="宋体"/>
          <w:b/>
          <w:bCs/>
          <w:sz w:val="21"/>
          <w:szCs w:val="21"/>
        </w:rPr>
        <w:t>1</w:t>
      </w:r>
      <w:r>
        <w:rPr>
          <w:rFonts w:ascii="宋体" w:hAnsi="宋体" w:cs="宋体"/>
          <w:b/>
          <w:bCs/>
          <w:sz w:val="21"/>
          <w:szCs w:val="21"/>
        </w:rPr>
        <w:t>.</w:t>
      </w:r>
      <w:r>
        <w:rPr>
          <w:rFonts w:hint="eastAsia" w:ascii="宋体" w:hAnsi="宋体" w:cs="宋体"/>
          <w:b/>
          <w:bCs/>
          <w:sz w:val="21"/>
          <w:szCs w:val="21"/>
        </w:rPr>
        <w:t>需执行的国家相关标准、行业标准、地方标准或者其他标准、规范：</w:t>
      </w:r>
      <w:r>
        <w:rPr>
          <w:rFonts w:hint="eastAsia" w:ascii="宋体" w:hAnsi="宋体" w:cs="宋体"/>
          <w:sz w:val="21"/>
          <w:szCs w:val="21"/>
        </w:rPr>
        <w:t>技术要求中未注明需执行的国家相关标准、行业标准、地方标准或者其他标准、规范的，执行最新标准、规范。</w:t>
      </w:r>
    </w:p>
    <w:p>
      <w:pPr>
        <w:adjustRightInd w:val="0"/>
        <w:snapToGrid w:val="0"/>
        <w:spacing w:line="288" w:lineRule="auto"/>
        <w:rPr>
          <w:rFonts w:ascii="宋体" w:hAnsi="宋体"/>
          <w:b/>
          <w:bCs/>
          <w:spacing w:val="-4"/>
          <w:sz w:val="21"/>
          <w:szCs w:val="21"/>
        </w:rPr>
      </w:pPr>
      <w:r>
        <w:rPr>
          <w:rFonts w:ascii="宋体" w:hAnsi="宋体"/>
          <w:b/>
          <w:bCs/>
          <w:spacing w:val="-4"/>
          <w:sz w:val="21"/>
          <w:szCs w:val="21"/>
        </w:rPr>
        <w:t>2.</w:t>
      </w:r>
      <w:r>
        <w:rPr>
          <w:rFonts w:hint="eastAsia" w:ascii="宋体" w:hAnsi="宋体"/>
          <w:b/>
          <w:bCs/>
          <w:spacing w:val="-4"/>
          <w:sz w:val="21"/>
          <w:szCs w:val="21"/>
        </w:rPr>
        <w:t>需满足的</w:t>
      </w:r>
      <w:r>
        <w:rPr>
          <w:rFonts w:hint="eastAsia" w:ascii="宋体" w:hAnsi="宋体" w:cs="宋体"/>
          <w:b/>
          <w:bCs/>
          <w:sz w:val="21"/>
          <w:szCs w:val="21"/>
        </w:rPr>
        <w:t>功能、</w:t>
      </w:r>
      <w:r>
        <w:rPr>
          <w:rFonts w:hint="eastAsia" w:ascii="宋体" w:hAnsi="宋体"/>
          <w:b/>
          <w:bCs/>
          <w:spacing w:val="-4"/>
          <w:sz w:val="21"/>
          <w:szCs w:val="21"/>
        </w:rPr>
        <w:t>质量、安全、技术规格、物理特性等要求：</w:t>
      </w:r>
    </w:p>
    <w:tbl>
      <w:tblPr>
        <w:tblStyle w:val="2"/>
        <w:tblW w:w="1006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59"/>
        <w:gridCol w:w="1810"/>
        <w:gridCol w:w="661"/>
        <w:gridCol w:w="661"/>
        <w:gridCol w:w="626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59" w:type="dxa"/>
            <w:vAlign w:val="center"/>
          </w:tcPr>
          <w:p>
            <w:pPr>
              <w:adjustRightInd w:val="0"/>
              <w:snapToGrid w:val="0"/>
              <w:spacing w:line="288" w:lineRule="auto"/>
              <w:jc w:val="center"/>
              <w:rPr>
                <w:rFonts w:ascii="宋体" w:hAnsi="宋体" w:cs="宋体"/>
                <w:b/>
                <w:bCs/>
                <w:sz w:val="21"/>
                <w:szCs w:val="21"/>
              </w:rPr>
            </w:pPr>
            <w:r>
              <w:rPr>
                <w:rFonts w:hint="eastAsia" w:ascii="宋体" w:hAnsi="宋体" w:cs="宋体"/>
                <w:b/>
                <w:bCs/>
                <w:sz w:val="21"/>
                <w:szCs w:val="21"/>
              </w:rPr>
              <w:t>序号</w:t>
            </w:r>
          </w:p>
        </w:tc>
        <w:tc>
          <w:tcPr>
            <w:tcW w:w="1810" w:type="dxa"/>
            <w:vAlign w:val="center"/>
          </w:tcPr>
          <w:p>
            <w:pPr>
              <w:adjustRightInd w:val="0"/>
              <w:snapToGrid w:val="0"/>
              <w:spacing w:line="288" w:lineRule="auto"/>
              <w:jc w:val="center"/>
              <w:rPr>
                <w:rFonts w:ascii="宋体" w:hAnsi="宋体" w:cs="宋体"/>
                <w:b/>
                <w:bCs/>
                <w:sz w:val="21"/>
                <w:szCs w:val="21"/>
              </w:rPr>
            </w:pPr>
            <w:r>
              <w:rPr>
                <w:rFonts w:hint="eastAsia" w:ascii="宋体" w:hAnsi="宋体" w:cs="宋体"/>
                <w:b/>
                <w:bCs/>
                <w:sz w:val="21"/>
                <w:szCs w:val="21"/>
              </w:rPr>
              <w:t>名称</w:t>
            </w:r>
          </w:p>
        </w:tc>
        <w:tc>
          <w:tcPr>
            <w:tcW w:w="661" w:type="dxa"/>
            <w:vAlign w:val="center"/>
          </w:tcPr>
          <w:p>
            <w:pPr>
              <w:adjustRightInd w:val="0"/>
              <w:snapToGrid w:val="0"/>
              <w:spacing w:line="288" w:lineRule="auto"/>
              <w:jc w:val="center"/>
              <w:rPr>
                <w:rFonts w:ascii="宋体" w:hAnsi="宋体" w:cs="宋体"/>
                <w:b/>
                <w:bCs/>
                <w:sz w:val="21"/>
                <w:szCs w:val="21"/>
              </w:rPr>
            </w:pPr>
            <w:r>
              <w:rPr>
                <w:rFonts w:hint="eastAsia" w:ascii="宋体" w:hAnsi="宋体" w:cs="宋体"/>
                <w:b/>
                <w:bCs/>
                <w:sz w:val="21"/>
                <w:szCs w:val="21"/>
              </w:rPr>
              <w:t>数量</w:t>
            </w:r>
          </w:p>
        </w:tc>
        <w:tc>
          <w:tcPr>
            <w:tcW w:w="661" w:type="dxa"/>
            <w:vAlign w:val="center"/>
          </w:tcPr>
          <w:p>
            <w:pPr>
              <w:adjustRightInd w:val="0"/>
              <w:snapToGrid w:val="0"/>
              <w:spacing w:line="288" w:lineRule="auto"/>
              <w:jc w:val="center"/>
              <w:rPr>
                <w:rFonts w:ascii="宋体" w:hAnsi="宋体" w:cs="宋体"/>
                <w:b/>
                <w:bCs/>
                <w:sz w:val="21"/>
                <w:szCs w:val="21"/>
              </w:rPr>
            </w:pPr>
            <w:r>
              <w:rPr>
                <w:rFonts w:hint="eastAsia" w:ascii="宋体" w:hAnsi="宋体" w:cs="宋体"/>
                <w:b/>
                <w:bCs/>
                <w:sz w:val="21"/>
                <w:szCs w:val="21"/>
              </w:rPr>
              <w:t>单位</w:t>
            </w:r>
          </w:p>
        </w:tc>
        <w:tc>
          <w:tcPr>
            <w:tcW w:w="6269" w:type="dxa"/>
            <w:vAlign w:val="center"/>
          </w:tcPr>
          <w:p>
            <w:pPr>
              <w:adjustRightInd w:val="0"/>
              <w:snapToGrid w:val="0"/>
              <w:spacing w:line="288" w:lineRule="auto"/>
              <w:jc w:val="center"/>
              <w:rPr>
                <w:rFonts w:ascii="宋体" w:hAnsi="宋体" w:cs="宋体"/>
                <w:b/>
                <w:bCs/>
                <w:sz w:val="21"/>
                <w:szCs w:val="21"/>
              </w:rPr>
            </w:pPr>
            <w:r>
              <w:rPr>
                <w:rFonts w:hint="eastAsia" w:ascii="宋体" w:hAnsi="宋体" w:cs="宋体"/>
                <w:b/>
                <w:bCs/>
                <w:sz w:val="21"/>
                <w:szCs w:val="21"/>
              </w:rPr>
              <w:t>功能、质量、安全、技术规格、物理特性等要求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59" w:type="dxa"/>
            <w:vAlign w:val="center"/>
          </w:tcPr>
          <w:p>
            <w:pPr>
              <w:adjustRightInd w:val="0"/>
              <w:snapToGrid w:val="0"/>
              <w:jc w:val="center"/>
              <w:rPr>
                <w:rFonts w:ascii="宋体" w:hAnsi="宋体" w:cs="宋体"/>
                <w:b/>
                <w:bCs/>
                <w:sz w:val="21"/>
                <w:szCs w:val="21"/>
              </w:rPr>
            </w:pPr>
            <w:r>
              <w:rPr>
                <w:rFonts w:hint="eastAsia" w:ascii="宋体" w:hAnsi="宋体" w:cs="宋体"/>
                <w:sz w:val="21"/>
                <w:szCs w:val="21"/>
              </w:rPr>
              <w:t>1</w:t>
            </w:r>
          </w:p>
        </w:tc>
        <w:tc>
          <w:tcPr>
            <w:tcW w:w="1810" w:type="dxa"/>
            <w:vAlign w:val="center"/>
          </w:tcPr>
          <w:p>
            <w:pPr>
              <w:adjustRightInd w:val="0"/>
              <w:snapToGrid w:val="0"/>
              <w:jc w:val="center"/>
              <w:rPr>
                <w:rFonts w:ascii="宋体" w:hAnsi="宋体" w:cs="宋体"/>
                <w:bCs/>
                <w:sz w:val="21"/>
                <w:szCs w:val="21"/>
              </w:rPr>
            </w:pPr>
            <w:r>
              <w:rPr>
                <w:rFonts w:hint="eastAsia" w:ascii="宋体" w:hAnsi="宋体" w:cs="宋体"/>
                <w:bCs/>
                <w:sz w:val="21"/>
                <w:szCs w:val="21"/>
              </w:rPr>
              <w:t>潜伏威胁探针</w:t>
            </w:r>
          </w:p>
          <w:p>
            <w:pPr>
              <w:adjustRightInd w:val="0"/>
              <w:snapToGrid w:val="0"/>
              <w:jc w:val="center"/>
              <w:rPr>
                <w:rFonts w:hint="eastAsia" w:ascii="宋体" w:hAnsi="宋体"/>
                <w:b/>
                <w:sz w:val="21"/>
                <w:szCs w:val="21"/>
              </w:rPr>
            </w:pPr>
            <w:r>
              <w:rPr>
                <w:rFonts w:hint="eastAsia" w:ascii="宋体" w:hAnsi="宋体" w:cs="宋体"/>
                <w:b/>
                <w:sz w:val="21"/>
                <w:szCs w:val="21"/>
              </w:rPr>
              <w:t>（核心产品）</w:t>
            </w:r>
          </w:p>
        </w:tc>
        <w:tc>
          <w:tcPr>
            <w:tcW w:w="661" w:type="dxa"/>
            <w:vAlign w:val="center"/>
          </w:tcPr>
          <w:p>
            <w:pPr>
              <w:adjustRightInd w:val="0"/>
              <w:snapToGrid w:val="0"/>
              <w:jc w:val="center"/>
              <w:rPr>
                <w:rFonts w:ascii="宋体" w:hAnsi="宋体" w:cs="宋体"/>
                <w:b/>
                <w:bCs/>
                <w:sz w:val="21"/>
                <w:szCs w:val="21"/>
              </w:rPr>
            </w:pPr>
            <w:r>
              <w:rPr>
                <w:rFonts w:hint="eastAsia" w:ascii="宋体" w:hAnsi="宋体" w:cs="宋体"/>
                <w:sz w:val="21"/>
                <w:szCs w:val="21"/>
              </w:rPr>
              <w:t>1</w:t>
            </w:r>
          </w:p>
        </w:tc>
        <w:tc>
          <w:tcPr>
            <w:tcW w:w="661" w:type="dxa"/>
            <w:vAlign w:val="center"/>
          </w:tcPr>
          <w:p>
            <w:pPr>
              <w:adjustRightInd w:val="0"/>
              <w:snapToGrid w:val="0"/>
              <w:jc w:val="center"/>
              <w:rPr>
                <w:rFonts w:ascii="宋体" w:hAnsi="宋体" w:cs="宋体"/>
                <w:b/>
                <w:bCs/>
                <w:sz w:val="21"/>
                <w:szCs w:val="21"/>
              </w:rPr>
            </w:pPr>
            <w:r>
              <w:rPr>
                <w:rFonts w:hint="eastAsia" w:ascii="宋体" w:hAnsi="宋体" w:cs="宋体"/>
                <w:sz w:val="21"/>
                <w:szCs w:val="21"/>
              </w:rPr>
              <w:t>套</w:t>
            </w:r>
          </w:p>
        </w:tc>
        <w:tc>
          <w:tcPr>
            <w:tcW w:w="6269" w:type="dxa"/>
            <w:vAlign w:val="center"/>
          </w:tcPr>
          <w:p>
            <w:pPr>
              <w:widowControl/>
              <w:adjustRightInd w:val="0"/>
              <w:snapToGrid w:val="0"/>
              <w:rPr>
                <w:rFonts w:asciiTheme="minorEastAsia" w:hAnsiTheme="minorEastAsia" w:eastAsiaTheme="minorEastAsia"/>
                <w:b/>
                <w:bCs/>
                <w:sz w:val="21"/>
                <w:szCs w:val="21"/>
              </w:rPr>
            </w:pPr>
            <w:r>
              <w:rPr>
                <w:rFonts w:hint="eastAsia" w:ascii="宋体" w:hAnsi="宋体" w:cs="宋体"/>
                <w:sz w:val="21"/>
                <w:szCs w:val="21"/>
              </w:rPr>
              <w:t>▲</w:t>
            </w:r>
            <w:r>
              <w:rPr>
                <w:rFonts w:hint="eastAsia" w:asciiTheme="minorEastAsia" w:hAnsiTheme="minorEastAsia" w:eastAsiaTheme="minorEastAsia"/>
                <w:b/>
                <w:bCs/>
                <w:sz w:val="21"/>
                <w:szCs w:val="21"/>
              </w:rPr>
              <w:t>1、</w:t>
            </w:r>
            <w:r>
              <w:rPr>
                <w:rFonts w:asciiTheme="minorEastAsia" w:hAnsiTheme="minorEastAsia" w:eastAsiaTheme="minorEastAsia"/>
                <w:b/>
                <w:bCs/>
                <w:sz w:val="21"/>
                <w:szCs w:val="21"/>
              </w:rPr>
              <w:t>功能要求：</w:t>
            </w:r>
            <w:r>
              <w:rPr>
                <w:rFonts w:asciiTheme="minorEastAsia" w:hAnsiTheme="minorEastAsia" w:eastAsiaTheme="minorEastAsia"/>
                <w:b/>
                <w:sz w:val="21"/>
                <w:szCs w:val="21"/>
              </w:rPr>
              <w:t>要求与现有安全态势感知平台兼容、联动，且可用。</w:t>
            </w:r>
          </w:p>
          <w:p>
            <w:pPr>
              <w:widowControl/>
              <w:adjustRightInd w:val="0"/>
              <w:snapToGrid w:val="0"/>
              <w:rPr>
                <w:rFonts w:asciiTheme="minorEastAsia" w:hAnsiTheme="minorEastAsia" w:eastAsiaTheme="minorEastAsia"/>
                <w:sz w:val="21"/>
                <w:szCs w:val="21"/>
              </w:rPr>
            </w:pPr>
            <w:r>
              <w:rPr>
                <w:rFonts w:asciiTheme="minorEastAsia" w:hAnsiTheme="minorEastAsia" w:eastAsiaTheme="minorEastAsia"/>
                <w:b/>
                <w:bCs/>
                <w:sz w:val="21"/>
                <w:szCs w:val="21"/>
              </w:rPr>
              <w:t>2、</w:t>
            </w:r>
            <w:r>
              <w:rPr>
                <w:rFonts w:hint="eastAsia" w:asciiTheme="minorEastAsia" w:hAnsiTheme="minorEastAsia" w:eastAsiaTheme="minorEastAsia"/>
                <w:b/>
                <w:bCs/>
                <w:sz w:val="21"/>
                <w:szCs w:val="21"/>
              </w:rPr>
              <w:t>性能参数：</w:t>
            </w:r>
            <w:r>
              <w:rPr>
                <w:rFonts w:hint="eastAsia" w:asciiTheme="minorEastAsia" w:hAnsiTheme="minorEastAsia" w:eastAsiaTheme="minorEastAsia"/>
                <w:sz w:val="21"/>
                <w:szCs w:val="21"/>
              </w:rPr>
              <w:t>吞吐性能：≤6Gbps。</w:t>
            </w:r>
          </w:p>
          <w:p>
            <w:pPr>
              <w:widowControl/>
              <w:adjustRightInd w:val="0"/>
              <w:snapToGrid w:val="0"/>
              <w:rPr>
                <w:rFonts w:asciiTheme="minorEastAsia" w:hAnsiTheme="minorEastAsia" w:eastAsiaTheme="minorEastAsia"/>
                <w:sz w:val="21"/>
                <w:szCs w:val="21"/>
              </w:rPr>
            </w:pPr>
            <w:r>
              <w:rPr>
                <w:rFonts w:hint="eastAsia" w:asciiTheme="minorEastAsia" w:hAnsiTheme="minorEastAsia" w:eastAsiaTheme="minorEastAsia"/>
                <w:b/>
                <w:bCs/>
                <w:sz w:val="21"/>
                <w:szCs w:val="21"/>
              </w:rPr>
              <w:t>硬件参数规格：</w:t>
            </w:r>
            <w:r>
              <w:rPr>
                <w:rFonts w:hint="eastAsia" w:asciiTheme="minorEastAsia" w:hAnsiTheme="minorEastAsia" w:eastAsiaTheme="minorEastAsia"/>
                <w:sz w:val="21"/>
                <w:szCs w:val="21"/>
              </w:rPr>
              <w:t>2U，内存大小≥16G，硬盘容量≥960G SSD，冗余电源，接口：8千兆电口+4光接口+2万兆光口SFP+。</w:t>
            </w:r>
          </w:p>
          <w:p>
            <w:pPr>
              <w:widowControl/>
              <w:adjustRightInd w:val="0"/>
              <w:snapToGrid w:val="0"/>
              <w:rPr>
                <w:rFonts w:asciiTheme="minorEastAsia" w:hAnsiTheme="minorEastAsia" w:eastAsiaTheme="minorEastAsia"/>
                <w:sz w:val="21"/>
                <w:szCs w:val="21"/>
              </w:rPr>
            </w:pPr>
            <w:r>
              <w:rPr>
                <w:rFonts w:hint="eastAsia" w:asciiTheme="minorEastAsia" w:hAnsiTheme="minorEastAsia" w:eastAsiaTheme="minorEastAsia"/>
                <w:b/>
                <w:bCs/>
                <w:sz w:val="21"/>
                <w:szCs w:val="21"/>
              </w:rPr>
              <w:t>3、部署模式：</w:t>
            </w:r>
            <w:r>
              <w:rPr>
                <w:rFonts w:hint="eastAsia" w:asciiTheme="minorEastAsia" w:hAnsiTheme="minorEastAsia" w:eastAsiaTheme="minorEastAsia"/>
                <w:sz w:val="21"/>
                <w:szCs w:val="21"/>
              </w:rPr>
              <w:t>旁路部署，支持探针接入多个镜像口，每个接口相互独立且不影响；</w:t>
            </w:r>
          </w:p>
          <w:p>
            <w:pPr>
              <w:widowControl/>
              <w:adjustRightInd w:val="0"/>
              <w:snapToGrid w:val="0"/>
              <w:rPr>
                <w:rFonts w:asciiTheme="minorEastAsia" w:hAnsiTheme="minorEastAsia" w:eastAsiaTheme="minorEastAsia"/>
                <w:sz w:val="21"/>
                <w:szCs w:val="21"/>
              </w:rPr>
            </w:pPr>
            <w:r>
              <w:rPr>
                <w:rFonts w:hint="eastAsia" w:ascii="宋体" w:hAnsi="宋体" w:cs="宋体"/>
                <w:sz w:val="21"/>
                <w:szCs w:val="21"/>
              </w:rPr>
              <w:t>▲</w:t>
            </w:r>
            <w:r>
              <w:rPr>
                <w:rFonts w:hint="eastAsia" w:asciiTheme="minorEastAsia" w:hAnsiTheme="minorEastAsia" w:eastAsiaTheme="minorEastAsia"/>
                <w:b/>
                <w:bCs/>
                <w:sz w:val="21"/>
                <w:szCs w:val="21"/>
              </w:rPr>
              <w:t>4、资产发现：</w:t>
            </w:r>
            <w:r>
              <w:rPr>
                <w:rFonts w:hint="eastAsia" w:asciiTheme="minorEastAsia" w:hAnsiTheme="minorEastAsia" w:eastAsiaTheme="minorEastAsia"/>
                <w:sz w:val="21"/>
                <w:szCs w:val="21"/>
              </w:rPr>
              <w:t>具备主动发送少量探测报文，发现潜在的服务器（影子资产）以及学习服务器的基础信息，如：操作系统、开放的端口号等。</w:t>
            </w:r>
          </w:p>
          <w:p>
            <w:pPr>
              <w:widowControl/>
              <w:adjustRightInd w:val="0"/>
              <w:snapToGrid w:val="0"/>
              <w:rPr>
                <w:rFonts w:asciiTheme="minorEastAsia" w:hAnsiTheme="minorEastAsia" w:eastAsiaTheme="minorEastAsia"/>
                <w:sz w:val="21"/>
                <w:szCs w:val="21"/>
              </w:rPr>
            </w:pPr>
            <w:r>
              <w:rPr>
                <w:rFonts w:hint="eastAsia" w:ascii="宋体" w:hAnsi="宋体" w:cs="宋体"/>
                <w:sz w:val="21"/>
                <w:szCs w:val="21"/>
              </w:rPr>
              <w:t>▲</w:t>
            </w:r>
            <w:r>
              <w:rPr>
                <w:rFonts w:asciiTheme="minorEastAsia" w:hAnsiTheme="minorEastAsia" w:eastAsiaTheme="minorEastAsia"/>
                <w:b/>
                <w:bCs/>
                <w:sz w:val="21"/>
                <w:szCs w:val="21"/>
              </w:rPr>
              <w:t>5、</w:t>
            </w:r>
            <w:r>
              <w:rPr>
                <w:rFonts w:hint="eastAsia" w:asciiTheme="minorEastAsia" w:hAnsiTheme="minorEastAsia" w:eastAsiaTheme="minorEastAsia"/>
                <w:b/>
                <w:bCs/>
                <w:sz w:val="21"/>
                <w:szCs w:val="21"/>
              </w:rPr>
              <w:t>基础检测功能：</w:t>
            </w:r>
            <w:r>
              <w:rPr>
                <w:rFonts w:hint="eastAsia" w:asciiTheme="minorEastAsia" w:hAnsiTheme="minorEastAsia" w:eastAsiaTheme="minorEastAsia"/>
                <w:sz w:val="21"/>
                <w:szCs w:val="21"/>
              </w:rPr>
              <w:t>具备报文检测引擎,可实现IP碎片重组、TCP流重组、应用层协议识别与解析等；具备多种的入侵攻击模式或恶意UR监测模式，可完成模式匹配并生成事件，可提取URL记录和域名记录。</w:t>
            </w:r>
          </w:p>
          <w:p>
            <w:pPr>
              <w:widowControl/>
              <w:adjustRightInd w:val="0"/>
              <w:snapToGrid w:val="0"/>
              <w:rPr>
                <w:rFonts w:asciiTheme="minorEastAsia" w:hAnsiTheme="minorEastAsia" w:eastAsiaTheme="minorEastAsia"/>
                <w:sz w:val="21"/>
                <w:szCs w:val="21"/>
              </w:rPr>
            </w:pPr>
            <w:r>
              <w:rPr>
                <w:rFonts w:asciiTheme="minorEastAsia" w:hAnsiTheme="minorEastAsia" w:eastAsiaTheme="minorEastAsia"/>
                <w:b/>
                <w:bCs/>
                <w:sz w:val="21"/>
                <w:szCs w:val="21"/>
              </w:rPr>
              <w:t>6、</w:t>
            </w:r>
            <w:r>
              <w:rPr>
                <w:rFonts w:hint="eastAsia" w:asciiTheme="minorEastAsia" w:hAnsiTheme="minorEastAsia" w:eastAsiaTheme="minorEastAsia"/>
                <w:b/>
                <w:bCs/>
                <w:sz w:val="21"/>
                <w:szCs w:val="21"/>
              </w:rPr>
              <w:t>敏感信息检测：</w:t>
            </w:r>
            <w:r>
              <w:rPr>
                <w:rFonts w:hint="eastAsia" w:asciiTheme="minorEastAsia" w:hAnsiTheme="minorEastAsia" w:eastAsiaTheme="minorEastAsia"/>
                <w:sz w:val="21"/>
                <w:szCs w:val="21"/>
              </w:rPr>
              <w:t>支持敏感数据泄密功能检测能力，可自定义敏感信息，支持根据文件类型和敏感关键字进行信息过滤</w:t>
            </w:r>
          </w:p>
          <w:p>
            <w:pPr>
              <w:widowControl/>
              <w:adjustRightInd w:val="0"/>
              <w:snapToGrid w:val="0"/>
              <w:rPr>
                <w:rFonts w:asciiTheme="minorEastAsia" w:hAnsiTheme="minorEastAsia" w:eastAsiaTheme="minorEastAsia"/>
                <w:sz w:val="21"/>
                <w:szCs w:val="21"/>
              </w:rPr>
            </w:pPr>
            <w:r>
              <w:rPr>
                <w:rFonts w:asciiTheme="minorEastAsia" w:hAnsiTheme="minorEastAsia" w:eastAsiaTheme="minorEastAsia"/>
                <w:b/>
                <w:bCs/>
                <w:sz w:val="21"/>
                <w:szCs w:val="21"/>
              </w:rPr>
              <w:t>7、</w:t>
            </w:r>
            <w:r>
              <w:rPr>
                <w:rFonts w:hint="eastAsia" w:asciiTheme="minorEastAsia" w:hAnsiTheme="minorEastAsia" w:eastAsiaTheme="minorEastAsia"/>
                <w:b/>
                <w:bCs/>
                <w:sz w:val="21"/>
                <w:szCs w:val="21"/>
              </w:rPr>
              <w:t>异常流量检测：</w:t>
            </w:r>
            <w:r>
              <w:rPr>
                <w:rFonts w:hint="eastAsia" w:asciiTheme="minorEastAsia" w:hAnsiTheme="minorEastAsia" w:eastAsiaTheme="minorEastAsia"/>
                <w:sz w:val="21"/>
                <w:szCs w:val="21"/>
              </w:rPr>
              <w:t>支持标准端口运行非标准协议，非标准端口运行标准协议的异常流量检测，端口类型包括3389、53、80/8080、21、69、443、25、110、143、22等；支持ICMP、UDP、SYN、DNS等协议外发异常流量检测，支持自定义阀值。</w:t>
            </w:r>
          </w:p>
          <w:p>
            <w:pPr>
              <w:widowControl/>
              <w:adjustRightInd w:val="0"/>
              <w:snapToGrid w:val="0"/>
              <w:rPr>
                <w:rFonts w:asciiTheme="minorEastAsia" w:hAnsiTheme="minorEastAsia" w:eastAsiaTheme="minorEastAsia"/>
                <w:sz w:val="21"/>
                <w:szCs w:val="21"/>
              </w:rPr>
            </w:pPr>
            <w:r>
              <w:rPr>
                <w:rFonts w:asciiTheme="minorEastAsia" w:hAnsiTheme="minorEastAsia" w:eastAsiaTheme="minorEastAsia"/>
                <w:b/>
                <w:bCs/>
                <w:sz w:val="21"/>
                <w:szCs w:val="21"/>
              </w:rPr>
              <w:t>8、</w:t>
            </w:r>
            <w:r>
              <w:rPr>
                <w:rFonts w:hint="eastAsia" w:asciiTheme="minorEastAsia" w:hAnsiTheme="minorEastAsia" w:eastAsiaTheme="minorEastAsia"/>
                <w:b/>
                <w:bCs/>
                <w:sz w:val="21"/>
                <w:szCs w:val="21"/>
              </w:rPr>
              <w:t>僵尸网络行为检测：</w:t>
            </w:r>
            <w:r>
              <w:rPr>
                <w:rFonts w:hint="eastAsia" w:asciiTheme="minorEastAsia" w:hAnsiTheme="minorEastAsia" w:eastAsiaTheme="minorEastAsia"/>
                <w:sz w:val="21"/>
                <w:szCs w:val="21"/>
              </w:rPr>
              <w:t>支持HTTP未知站点下载可执行文件、浏览最近30天注册域名、浏览恶意动态域名、访问随机算法生成域名、暴力破解攻击、反弹连接、IRC通信等僵尸网络行为检测。</w:t>
            </w:r>
          </w:p>
          <w:p>
            <w:pPr>
              <w:widowControl/>
              <w:adjustRightInd w:val="0"/>
              <w:snapToGrid w:val="0"/>
              <w:rPr>
                <w:rFonts w:asciiTheme="minorEastAsia" w:hAnsiTheme="minorEastAsia" w:eastAsiaTheme="minorEastAsia"/>
                <w:b/>
                <w:bCs/>
                <w:sz w:val="21"/>
                <w:szCs w:val="21"/>
              </w:rPr>
            </w:pPr>
            <w:r>
              <w:rPr>
                <w:rFonts w:asciiTheme="minorEastAsia" w:hAnsiTheme="minorEastAsia" w:eastAsiaTheme="minorEastAsia"/>
                <w:b/>
                <w:bCs/>
                <w:sz w:val="21"/>
                <w:szCs w:val="21"/>
              </w:rPr>
              <w:t>9、</w:t>
            </w:r>
            <w:r>
              <w:rPr>
                <w:rFonts w:hint="eastAsia" w:asciiTheme="minorEastAsia" w:hAnsiTheme="minorEastAsia" w:eastAsiaTheme="minorEastAsia"/>
                <w:b/>
                <w:bCs/>
                <w:sz w:val="21"/>
                <w:szCs w:val="21"/>
              </w:rPr>
              <w:t>高级检测：</w:t>
            </w:r>
            <w:r>
              <w:rPr>
                <w:rFonts w:hint="eastAsia" w:asciiTheme="minorEastAsia" w:hAnsiTheme="minorEastAsia" w:eastAsiaTheme="minorEastAsia"/>
                <w:sz w:val="21"/>
                <w:szCs w:val="21"/>
              </w:rPr>
              <w:t>支持5种类型日志传输模式,包含标准模式、精简模式、高级模式、局域网模式、自定义模式，适应不同应用场景需求</w:t>
            </w:r>
            <w:r>
              <w:rPr>
                <w:rFonts w:hint="eastAsia" w:asciiTheme="minorEastAsia" w:hAnsiTheme="minorEastAsia" w:eastAsiaTheme="minorEastAsia"/>
                <w:b/>
                <w:bCs/>
                <w:sz w:val="21"/>
                <w:szCs w:val="21"/>
              </w:rPr>
              <w:t>（需提供截图证明并加盖公章，附于技术偏离表后）。</w:t>
            </w:r>
            <w:r>
              <w:rPr>
                <w:rFonts w:hint="eastAsia" w:asciiTheme="minorEastAsia" w:hAnsiTheme="minorEastAsia" w:eastAsiaTheme="minorEastAsia"/>
                <w:sz w:val="21"/>
                <w:szCs w:val="21"/>
              </w:rPr>
              <w:t>支持传输安全检测日志，包括网络攻击检测日志、漏洞利用攻击检测日志、僵尸网络检测日志、业务弱点发现日志（</w:t>
            </w:r>
            <w:r>
              <w:rPr>
                <w:rFonts w:hint="eastAsia" w:asciiTheme="minorEastAsia" w:hAnsiTheme="minorEastAsia" w:eastAsiaTheme="minorEastAsia"/>
                <w:b/>
                <w:bCs/>
                <w:sz w:val="21"/>
                <w:szCs w:val="21"/>
              </w:rPr>
              <w:t>需提供截图证明并加盖公章，附于技术偏离表后）；</w:t>
            </w:r>
            <w:r>
              <w:rPr>
                <w:rFonts w:hint="eastAsia" w:asciiTheme="minorEastAsia" w:hAnsiTheme="minorEastAsia" w:eastAsiaTheme="minorEastAsia"/>
                <w:sz w:val="21"/>
                <w:szCs w:val="21"/>
              </w:rPr>
              <w:t>支持传输访问检测日志，包括正常访问、风险访问、违规访问（</w:t>
            </w:r>
            <w:r>
              <w:rPr>
                <w:rFonts w:hint="eastAsia" w:asciiTheme="minorEastAsia" w:hAnsiTheme="minorEastAsia" w:eastAsiaTheme="minorEastAsia"/>
                <w:b/>
                <w:bCs/>
                <w:sz w:val="21"/>
                <w:szCs w:val="21"/>
              </w:rPr>
              <w:t>需提供截图证明并加盖公章，附于技术偏离表后）</w:t>
            </w:r>
            <w:r>
              <w:rPr>
                <w:rFonts w:hint="eastAsia" w:asciiTheme="minorEastAsia" w:hAnsiTheme="minorEastAsia" w:eastAsiaTheme="minorEastAsia"/>
                <w:sz w:val="21"/>
                <w:szCs w:val="21"/>
              </w:rPr>
              <w:t>。</w:t>
            </w:r>
          </w:p>
          <w:p>
            <w:pPr>
              <w:widowControl/>
              <w:adjustRightInd w:val="0"/>
              <w:snapToGrid w:val="0"/>
              <w:rPr>
                <w:rFonts w:asciiTheme="minorEastAsia" w:hAnsiTheme="minorEastAsia" w:eastAsiaTheme="minorEastAsia"/>
                <w:sz w:val="21"/>
                <w:szCs w:val="21"/>
              </w:rPr>
            </w:pPr>
            <w:r>
              <w:rPr>
                <w:rFonts w:hint="eastAsia" w:asciiTheme="minorEastAsia" w:hAnsiTheme="minorEastAsia" w:eastAsiaTheme="minorEastAsia"/>
                <w:b/>
                <w:bCs/>
                <w:sz w:val="21"/>
                <w:szCs w:val="21"/>
              </w:rPr>
              <w:t>1</w:t>
            </w:r>
            <w:r>
              <w:rPr>
                <w:rFonts w:asciiTheme="minorEastAsia" w:hAnsiTheme="minorEastAsia" w:eastAsiaTheme="minorEastAsia"/>
                <w:b/>
                <w:bCs/>
                <w:sz w:val="21"/>
                <w:szCs w:val="21"/>
              </w:rPr>
              <w:t>0、</w:t>
            </w:r>
            <w:r>
              <w:rPr>
                <w:rFonts w:hint="eastAsia" w:asciiTheme="minorEastAsia" w:hAnsiTheme="minorEastAsia" w:eastAsiaTheme="minorEastAsia"/>
                <w:b/>
                <w:bCs/>
                <w:sz w:val="21"/>
                <w:szCs w:val="21"/>
              </w:rPr>
              <w:t>违规访问检测：</w:t>
            </w:r>
            <w:r>
              <w:rPr>
                <w:rFonts w:hint="eastAsia" w:asciiTheme="minorEastAsia" w:hAnsiTheme="minorEastAsia" w:eastAsiaTheme="minorEastAsia"/>
                <w:sz w:val="21"/>
                <w:szCs w:val="21"/>
              </w:rPr>
              <w:t>支持IP，IP组，服务，端口，访问时间等定义访问策略，主动建立针对性的业务和应用访问逻辑规则，包括白名单和黑名单方式（</w:t>
            </w:r>
            <w:r>
              <w:rPr>
                <w:rFonts w:hint="eastAsia" w:asciiTheme="minorEastAsia" w:hAnsiTheme="minorEastAsia" w:eastAsiaTheme="minorEastAsia"/>
                <w:b/>
                <w:bCs/>
                <w:sz w:val="21"/>
                <w:szCs w:val="21"/>
              </w:rPr>
              <w:t>需提供截图证明并加盖公章，附于技术偏离表后）</w:t>
            </w:r>
            <w:r>
              <w:rPr>
                <w:rFonts w:hint="eastAsia" w:asciiTheme="minorEastAsia" w:hAnsiTheme="minorEastAsia" w:eastAsiaTheme="minorEastAsia"/>
                <w:sz w:val="21"/>
                <w:szCs w:val="21"/>
              </w:rPr>
              <w:t>。</w:t>
            </w:r>
          </w:p>
          <w:p>
            <w:pPr>
              <w:widowControl/>
              <w:adjustRightInd w:val="0"/>
              <w:snapToGrid w:val="0"/>
              <w:rPr>
                <w:rFonts w:asciiTheme="minorEastAsia" w:hAnsiTheme="minorEastAsia" w:eastAsiaTheme="minorEastAsia"/>
                <w:sz w:val="21"/>
                <w:szCs w:val="21"/>
              </w:rPr>
            </w:pPr>
            <w:r>
              <w:rPr>
                <w:rFonts w:hint="eastAsia" w:asciiTheme="minorEastAsia" w:hAnsiTheme="minorEastAsia" w:eastAsiaTheme="minorEastAsia"/>
                <w:b/>
                <w:bCs/>
                <w:sz w:val="21"/>
                <w:szCs w:val="21"/>
              </w:rPr>
              <w:t>1</w:t>
            </w:r>
            <w:r>
              <w:rPr>
                <w:rFonts w:asciiTheme="minorEastAsia" w:hAnsiTheme="minorEastAsia" w:eastAsiaTheme="minorEastAsia"/>
                <w:b/>
                <w:bCs/>
                <w:sz w:val="21"/>
                <w:szCs w:val="21"/>
              </w:rPr>
              <w:t>1、</w:t>
            </w:r>
            <w:r>
              <w:rPr>
                <w:rFonts w:hint="eastAsia" w:asciiTheme="minorEastAsia" w:hAnsiTheme="minorEastAsia" w:eastAsiaTheme="minorEastAsia"/>
                <w:b/>
                <w:bCs/>
                <w:sz w:val="21"/>
                <w:szCs w:val="21"/>
              </w:rPr>
              <w:t>抓包分析：</w:t>
            </w:r>
            <w:r>
              <w:rPr>
                <w:rFonts w:hint="eastAsia" w:asciiTheme="minorEastAsia" w:hAnsiTheme="minorEastAsia" w:eastAsiaTheme="minorEastAsia"/>
                <w:sz w:val="21"/>
                <w:szCs w:val="21"/>
              </w:rPr>
              <w:t>支持流量抓包分析，可定义抓包数量、接口、IP地址、端口或自定义过滤表达式</w:t>
            </w:r>
          </w:p>
          <w:p>
            <w:pPr>
              <w:widowControl/>
              <w:adjustRightInd w:val="0"/>
              <w:snapToGrid w:val="0"/>
              <w:rPr>
                <w:rFonts w:asciiTheme="minorEastAsia" w:hAnsiTheme="minorEastAsia" w:eastAsiaTheme="minorEastAsia"/>
                <w:sz w:val="21"/>
                <w:szCs w:val="21"/>
              </w:rPr>
            </w:pPr>
            <w:r>
              <w:rPr>
                <w:rFonts w:asciiTheme="minorEastAsia" w:hAnsiTheme="minorEastAsia" w:eastAsiaTheme="minorEastAsia"/>
                <w:b/>
                <w:bCs/>
                <w:sz w:val="21"/>
                <w:szCs w:val="21"/>
              </w:rPr>
              <w:t>12、</w:t>
            </w:r>
            <w:r>
              <w:rPr>
                <w:rFonts w:hint="eastAsia" w:asciiTheme="minorEastAsia" w:hAnsiTheme="minorEastAsia" w:eastAsiaTheme="minorEastAsia"/>
                <w:b/>
                <w:bCs/>
                <w:sz w:val="21"/>
                <w:szCs w:val="21"/>
              </w:rPr>
              <w:t>部署：</w:t>
            </w:r>
            <w:r>
              <w:rPr>
                <w:rFonts w:hint="eastAsia" w:asciiTheme="minorEastAsia" w:hAnsiTheme="minorEastAsia" w:eastAsiaTheme="minorEastAsia"/>
                <w:sz w:val="21"/>
                <w:szCs w:val="21"/>
              </w:rPr>
              <w:t>支持多台采集器同时部署于客户网络不同位置并将数据传输到同一套分析平台</w:t>
            </w:r>
          </w:p>
          <w:p>
            <w:pPr>
              <w:widowControl/>
              <w:adjustRightInd w:val="0"/>
              <w:snapToGrid w:val="0"/>
              <w:rPr>
                <w:rFonts w:asciiTheme="minorEastAsia" w:hAnsiTheme="minorEastAsia" w:eastAsiaTheme="minorEastAsia"/>
                <w:b/>
                <w:sz w:val="21"/>
                <w:szCs w:val="21"/>
              </w:rPr>
            </w:pPr>
            <w:r>
              <w:rPr>
                <w:rFonts w:hint="eastAsia" w:asciiTheme="minorEastAsia" w:hAnsiTheme="minorEastAsia" w:eastAsiaTheme="minorEastAsia"/>
                <w:b/>
                <w:sz w:val="21"/>
                <w:szCs w:val="21"/>
              </w:rPr>
              <w:t>1</w:t>
            </w:r>
            <w:r>
              <w:rPr>
                <w:rFonts w:asciiTheme="minorEastAsia" w:hAnsiTheme="minorEastAsia" w:eastAsiaTheme="minorEastAsia"/>
                <w:b/>
                <w:sz w:val="21"/>
                <w:szCs w:val="21"/>
              </w:rPr>
              <w:t>3、产品资质：</w:t>
            </w:r>
            <w:r>
              <w:rPr>
                <w:rFonts w:asciiTheme="minorEastAsia" w:hAnsiTheme="minorEastAsia" w:eastAsiaTheme="minorEastAsia"/>
                <w:sz w:val="21"/>
                <w:szCs w:val="21"/>
              </w:rPr>
              <w:t>要求具备公安办法的网络入侵检测系统销售许可证。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59" w:type="dxa"/>
            <w:vAlign w:val="center"/>
          </w:tcPr>
          <w:p>
            <w:pPr>
              <w:adjustRightInd w:val="0"/>
              <w:snapToGrid w:val="0"/>
              <w:jc w:val="center"/>
              <w:rPr>
                <w:rFonts w:ascii="宋体" w:hAnsi="宋体" w:cs="宋体"/>
                <w:sz w:val="21"/>
                <w:szCs w:val="21"/>
              </w:rPr>
            </w:pPr>
            <w:r>
              <w:rPr>
                <w:rFonts w:hint="eastAsia" w:ascii="宋体" w:hAnsi="宋体" w:cs="宋体"/>
                <w:sz w:val="21"/>
                <w:szCs w:val="21"/>
              </w:rPr>
              <w:t>2</w:t>
            </w:r>
          </w:p>
        </w:tc>
        <w:tc>
          <w:tcPr>
            <w:tcW w:w="1810" w:type="dxa"/>
            <w:vAlign w:val="center"/>
          </w:tcPr>
          <w:p>
            <w:pPr>
              <w:adjustRightInd w:val="0"/>
              <w:snapToGrid w:val="0"/>
              <w:jc w:val="center"/>
              <w:rPr>
                <w:rFonts w:ascii="宋体" w:hAnsi="宋体" w:cs="宋体"/>
                <w:bCs/>
                <w:sz w:val="21"/>
                <w:szCs w:val="21"/>
              </w:rPr>
            </w:pPr>
            <w:r>
              <w:rPr>
                <w:rFonts w:hint="eastAsia" w:ascii="宋体" w:hAnsi="宋体" w:cs="宋体"/>
                <w:bCs/>
                <w:sz w:val="21"/>
                <w:szCs w:val="21"/>
              </w:rPr>
              <w:t>终端威胁检测软件</w:t>
            </w:r>
          </w:p>
        </w:tc>
        <w:tc>
          <w:tcPr>
            <w:tcW w:w="661" w:type="dxa"/>
            <w:vAlign w:val="center"/>
          </w:tcPr>
          <w:p>
            <w:pPr>
              <w:adjustRightInd w:val="0"/>
              <w:snapToGrid w:val="0"/>
              <w:jc w:val="center"/>
              <w:rPr>
                <w:rFonts w:ascii="宋体" w:hAnsi="宋体" w:cs="宋体"/>
                <w:sz w:val="21"/>
                <w:szCs w:val="21"/>
              </w:rPr>
            </w:pPr>
            <w:r>
              <w:rPr>
                <w:rFonts w:ascii="宋体" w:hAnsi="宋体" w:cs="宋体"/>
                <w:sz w:val="21"/>
                <w:szCs w:val="21"/>
              </w:rPr>
              <w:t>200</w:t>
            </w:r>
          </w:p>
        </w:tc>
        <w:tc>
          <w:tcPr>
            <w:tcW w:w="661" w:type="dxa"/>
            <w:vAlign w:val="center"/>
          </w:tcPr>
          <w:p>
            <w:pPr>
              <w:adjustRightInd w:val="0"/>
              <w:snapToGrid w:val="0"/>
              <w:jc w:val="center"/>
              <w:rPr>
                <w:rFonts w:ascii="宋体" w:hAnsi="宋体" w:cs="宋体"/>
                <w:sz w:val="21"/>
                <w:szCs w:val="21"/>
              </w:rPr>
            </w:pPr>
            <w:r>
              <w:rPr>
                <w:rFonts w:hint="eastAsia" w:ascii="宋体" w:hAnsi="宋体" w:cs="宋体"/>
                <w:sz w:val="21"/>
                <w:szCs w:val="21"/>
              </w:rPr>
              <w:t>点</w:t>
            </w:r>
          </w:p>
        </w:tc>
        <w:tc>
          <w:tcPr>
            <w:tcW w:w="6269" w:type="dxa"/>
            <w:vAlign w:val="center"/>
          </w:tcPr>
          <w:p>
            <w:pPr>
              <w:adjustRightInd w:val="0"/>
              <w:snapToGrid w:val="0"/>
              <w:spacing w:line="288" w:lineRule="auto"/>
              <w:jc w:val="left"/>
              <w:rPr>
                <w:rFonts w:ascii="宋体" w:hAnsi="宋体" w:cs="宋体"/>
                <w:b/>
                <w:sz w:val="21"/>
                <w:szCs w:val="21"/>
              </w:rPr>
            </w:pPr>
            <w:r>
              <w:rPr>
                <w:rFonts w:hint="eastAsia" w:ascii="宋体" w:hAnsi="宋体" w:cs="宋体"/>
                <w:sz w:val="21"/>
                <w:szCs w:val="21"/>
              </w:rPr>
              <w:t>▲</w:t>
            </w:r>
            <w:r>
              <w:rPr>
                <w:rFonts w:hint="eastAsia" w:ascii="宋体" w:hAnsi="宋体" w:cs="宋体"/>
                <w:b/>
                <w:sz w:val="21"/>
                <w:szCs w:val="21"/>
              </w:rPr>
              <w:t>1</w:t>
            </w:r>
            <w:r>
              <w:rPr>
                <w:rFonts w:ascii="宋体" w:hAnsi="宋体" w:cs="宋体"/>
                <w:b/>
                <w:sz w:val="21"/>
                <w:szCs w:val="21"/>
              </w:rPr>
              <w:t>、功能要求：</w:t>
            </w:r>
            <w:r>
              <w:rPr>
                <w:rFonts w:asciiTheme="minorEastAsia" w:hAnsiTheme="minorEastAsia" w:eastAsiaTheme="minorEastAsia"/>
                <w:b/>
                <w:sz w:val="21"/>
                <w:szCs w:val="21"/>
              </w:rPr>
              <w:t>要求与现有安全态势感知平台兼容、联动，且可用。</w:t>
            </w:r>
          </w:p>
          <w:p>
            <w:pPr>
              <w:adjustRightInd w:val="0"/>
              <w:snapToGrid w:val="0"/>
              <w:spacing w:line="288" w:lineRule="auto"/>
              <w:jc w:val="left"/>
              <w:rPr>
                <w:rFonts w:ascii="宋体" w:hAnsi="宋体" w:cs="宋体"/>
                <w:b/>
                <w:sz w:val="21"/>
                <w:szCs w:val="21"/>
              </w:rPr>
            </w:pPr>
            <w:r>
              <w:rPr>
                <w:rFonts w:hint="eastAsia" w:ascii="宋体" w:hAnsi="宋体" w:cs="宋体"/>
                <w:sz w:val="21"/>
                <w:szCs w:val="21"/>
              </w:rPr>
              <w:t>▲</w:t>
            </w:r>
            <w:r>
              <w:rPr>
                <w:rFonts w:ascii="宋体" w:hAnsi="宋体" w:cs="宋体"/>
                <w:b/>
                <w:sz w:val="21"/>
                <w:szCs w:val="21"/>
              </w:rPr>
              <w:t>2</w:t>
            </w:r>
            <w:r>
              <w:rPr>
                <w:rFonts w:hint="eastAsia" w:ascii="宋体" w:hAnsi="宋体" w:cs="宋体"/>
                <w:b/>
                <w:sz w:val="21"/>
                <w:szCs w:val="21"/>
              </w:rPr>
              <w:t>、全网威胁展示：</w:t>
            </w:r>
            <w:r>
              <w:rPr>
                <w:rFonts w:ascii="宋体" w:hAnsi="宋体" w:cs="宋体"/>
                <w:b/>
                <w:sz w:val="21"/>
                <w:szCs w:val="21"/>
              </w:rPr>
              <w:t xml:space="preserve"> </w:t>
            </w:r>
          </w:p>
          <w:p>
            <w:pPr>
              <w:adjustRightInd w:val="0"/>
              <w:snapToGrid w:val="0"/>
              <w:spacing w:line="288" w:lineRule="auto"/>
              <w:jc w:val="left"/>
              <w:rPr>
                <w:rFonts w:ascii="宋体" w:hAnsi="宋体" w:cs="宋体"/>
                <w:bCs/>
                <w:sz w:val="21"/>
                <w:szCs w:val="21"/>
              </w:rPr>
            </w:pPr>
            <w:r>
              <w:rPr>
                <w:rFonts w:hint="eastAsia" w:ascii="宋体" w:hAnsi="宋体" w:cs="宋体"/>
                <w:b/>
                <w:sz w:val="21"/>
                <w:szCs w:val="21"/>
              </w:rPr>
              <w:t>管理可视化：</w:t>
            </w:r>
            <w:r>
              <w:rPr>
                <w:rFonts w:hint="eastAsia" w:ascii="宋体" w:hAnsi="宋体" w:cs="宋体"/>
                <w:bCs/>
                <w:sz w:val="21"/>
                <w:szCs w:val="21"/>
              </w:rPr>
              <w:t>采用B/S架构的管理控制中心，具备终端安全可视，终端统一管理，统一威胁处置，统一漏洞修复，威胁响应处置，日志记录与查询等功能</w:t>
            </w:r>
          </w:p>
          <w:p>
            <w:pPr>
              <w:adjustRightInd w:val="0"/>
              <w:snapToGrid w:val="0"/>
              <w:spacing w:line="288" w:lineRule="auto"/>
              <w:jc w:val="left"/>
              <w:rPr>
                <w:rFonts w:ascii="宋体" w:hAnsi="宋体" w:cs="宋体"/>
                <w:bCs/>
                <w:sz w:val="21"/>
                <w:szCs w:val="21"/>
              </w:rPr>
            </w:pPr>
            <w:r>
              <w:rPr>
                <w:rFonts w:hint="eastAsia" w:ascii="宋体" w:hAnsi="宋体" w:cs="宋体"/>
                <w:b/>
                <w:sz w:val="21"/>
                <w:szCs w:val="21"/>
              </w:rPr>
              <w:t>多维度威胁展示：</w:t>
            </w:r>
            <w:r>
              <w:rPr>
                <w:rFonts w:hint="eastAsia" w:ascii="宋体" w:hAnsi="宋体" w:cs="宋体"/>
                <w:bCs/>
                <w:sz w:val="21"/>
                <w:szCs w:val="21"/>
              </w:rPr>
              <w:t>支持全网风险展示，包括但不限于未处理的勒索病毒数量、暴力破解数量、WebShell后门数量、高危漏洞及其各自影响的终端数量</w:t>
            </w:r>
          </w:p>
          <w:p>
            <w:pPr>
              <w:adjustRightInd w:val="0"/>
              <w:snapToGrid w:val="0"/>
              <w:spacing w:line="288" w:lineRule="auto"/>
              <w:jc w:val="left"/>
              <w:rPr>
                <w:rFonts w:ascii="宋体" w:hAnsi="宋体" w:cs="宋体"/>
                <w:bCs/>
                <w:sz w:val="21"/>
                <w:szCs w:val="21"/>
              </w:rPr>
            </w:pPr>
            <w:r>
              <w:rPr>
                <w:rFonts w:hint="eastAsia" w:ascii="宋体" w:hAnsi="宋体" w:cs="宋体"/>
                <w:b/>
                <w:sz w:val="21"/>
                <w:szCs w:val="21"/>
              </w:rPr>
              <w:t>多平台联动防御展示：</w:t>
            </w:r>
            <w:r>
              <w:rPr>
                <w:rFonts w:hint="eastAsia" w:ascii="宋体" w:hAnsi="宋体" w:cs="宋体"/>
                <w:bCs/>
                <w:sz w:val="21"/>
                <w:szCs w:val="21"/>
              </w:rPr>
              <w:t>支持展示跟现有安全感知平台的联动状态</w:t>
            </w:r>
          </w:p>
          <w:p>
            <w:pPr>
              <w:adjustRightInd w:val="0"/>
              <w:snapToGrid w:val="0"/>
              <w:spacing w:line="288" w:lineRule="auto"/>
              <w:jc w:val="left"/>
              <w:rPr>
                <w:rFonts w:ascii="宋体" w:hAnsi="宋体" w:cs="宋体"/>
                <w:bCs/>
                <w:sz w:val="21"/>
                <w:szCs w:val="21"/>
              </w:rPr>
            </w:pPr>
            <w:r>
              <w:rPr>
                <w:rFonts w:ascii="宋体" w:hAnsi="宋体" w:cs="宋体"/>
                <w:b/>
                <w:sz w:val="21"/>
                <w:szCs w:val="21"/>
              </w:rPr>
              <w:t>3</w:t>
            </w:r>
            <w:r>
              <w:rPr>
                <w:rFonts w:hint="eastAsia" w:ascii="宋体" w:hAnsi="宋体" w:cs="宋体"/>
                <w:b/>
                <w:sz w:val="21"/>
                <w:szCs w:val="21"/>
              </w:rPr>
              <w:t>、终端配置管理</w:t>
            </w:r>
            <w:r>
              <w:rPr>
                <w:rFonts w:hint="eastAsia" w:ascii="宋体" w:hAnsi="宋体" w:cs="宋体"/>
                <w:bCs/>
                <w:sz w:val="21"/>
                <w:szCs w:val="21"/>
              </w:rPr>
              <w:t>：</w:t>
            </w:r>
            <w:r>
              <w:rPr>
                <w:rFonts w:hint="eastAsia" w:ascii="宋体" w:hAnsi="宋体" w:cs="宋体"/>
                <w:bCs/>
                <w:sz w:val="21"/>
                <w:szCs w:val="21"/>
              </w:rPr>
              <w:tab/>
            </w:r>
          </w:p>
          <w:p>
            <w:pPr>
              <w:adjustRightInd w:val="0"/>
              <w:snapToGrid w:val="0"/>
              <w:spacing w:line="288" w:lineRule="auto"/>
              <w:jc w:val="left"/>
              <w:rPr>
                <w:rFonts w:ascii="宋体" w:hAnsi="宋体" w:cs="宋体"/>
                <w:bCs/>
                <w:sz w:val="21"/>
                <w:szCs w:val="21"/>
              </w:rPr>
            </w:pPr>
            <w:r>
              <w:rPr>
                <w:rFonts w:hint="eastAsia" w:ascii="宋体" w:hAnsi="宋体" w:cs="宋体"/>
                <w:b/>
                <w:sz w:val="21"/>
                <w:szCs w:val="21"/>
              </w:rPr>
              <w:t>自动分组：</w:t>
            </w:r>
            <w:r>
              <w:rPr>
                <w:rFonts w:hint="eastAsia" w:ascii="宋体" w:hAnsi="宋体" w:cs="宋体"/>
                <w:bCs/>
                <w:sz w:val="21"/>
                <w:szCs w:val="21"/>
              </w:rPr>
              <w:t>支持终端自动分组管理，新接入的终端可以根据网段自动分配到对应的分组；</w:t>
            </w:r>
          </w:p>
          <w:p>
            <w:pPr>
              <w:adjustRightInd w:val="0"/>
              <w:snapToGrid w:val="0"/>
              <w:spacing w:line="288" w:lineRule="auto"/>
              <w:jc w:val="left"/>
              <w:rPr>
                <w:rFonts w:ascii="宋体" w:hAnsi="宋体" w:cs="宋体"/>
                <w:bCs/>
                <w:sz w:val="21"/>
                <w:szCs w:val="21"/>
              </w:rPr>
            </w:pPr>
            <w:r>
              <w:rPr>
                <w:rFonts w:hint="eastAsia" w:ascii="宋体" w:hAnsi="宋体" w:cs="宋体"/>
                <w:b/>
                <w:sz w:val="21"/>
                <w:szCs w:val="21"/>
              </w:rPr>
              <w:t>影子终端发现：</w:t>
            </w:r>
            <w:r>
              <w:rPr>
                <w:rFonts w:hint="eastAsia" w:ascii="宋体" w:hAnsi="宋体" w:cs="宋体"/>
                <w:bCs/>
                <w:sz w:val="21"/>
                <w:szCs w:val="21"/>
              </w:rPr>
              <w:t>支持按照扫描网段、扫描方式、扫描协议、扫描端口对终端进行扫描，及时发现尚未纳入管控的终端</w:t>
            </w:r>
          </w:p>
          <w:p>
            <w:pPr>
              <w:adjustRightInd w:val="0"/>
              <w:snapToGrid w:val="0"/>
              <w:spacing w:line="288" w:lineRule="auto"/>
              <w:jc w:val="left"/>
              <w:rPr>
                <w:rFonts w:ascii="宋体" w:hAnsi="宋体" w:cs="宋体"/>
                <w:bCs/>
                <w:sz w:val="21"/>
                <w:szCs w:val="21"/>
              </w:rPr>
            </w:pPr>
            <w:r>
              <w:rPr>
                <w:rFonts w:hint="eastAsia" w:ascii="宋体" w:hAnsi="宋体" w:cs="宋体"/>
                <w:b/>
                <w:sz w:val="21"/>
                <w:szCs w:val="21"/>
              </w:rPr>
              <w:t>策略配置管理：</w:t>
            </w:r>
            <w:r>
              <w:rPr>
                <w:rFonts w:hint="eastAsia" w:ascii="宋体" w:hAnsi="宋体" w:cs="宋体"/>
                <w:bCs/>
                <w:sz w:val="21"/>
                <w:szCs w:val="21"/>
              </w:rPr>
              <w:t>支持安全策略一体化配置，通过单一策略即可实现不同安全功能的配置，包括：终端病毒查杀的文件扫描配置、文件实时监控的参数配置、WebShell检测和威胁处置方式、暴力破解的威胁处置方式和Windows白名单信任目录</w:t>
            </w:r>
          </w:p>
          <w:p>
            <w:pPr>
              <w:adjustRightInd w:val="0"/>
              <w:snapToGrid w:val="0"/>
              <w:spacing w:line="288" w:lineRule="auto"/>
              <w:jc w:val="left"/>
              <w:rPr>
                <w:rFonts w:ascii="宋体" w:hAnsi="宋体" w:cs="宋体"/>
                <w:bCs/>
                <w:sz w:val="21"/>
                <w:szCs w:val="21"/>
              </w:rPr>
            </w:pPr>
            <w:r>
              <w:rPr>
                <w:rFonts w:hint="eastAsia" w:ascii="宋体" w:hAnsi="宋体" w:cs="宋体"/>
                <w:b/>
                <w:sz w:val="21"/>
                <w:szCs w:val="21"/>
              </w:rPr>
              <w:t>资产管理：</w:t>
            </w:r>
            <w:r>
              <w:rPr>
                <w:rFonts w:hint="eastAsia" w:ascii="宋体" w:hAnsi="宋体" w:cs="宋体"/>
                <w:bCs/>
                <w:sz w:val="21"/>
                <w:szCs w:val="21"/>
              </w:rPr>
              <w:t>支持全网视角的终端资产统一清点，清点信息包括操作系统、应用软件、监听端口和主机账户，其中操作系统、应用软件和监听端口支持从资产和终端两个视角进行统计和展示。支持对系统高危端口执行一键封堵。支持对系统账号信息进行梳理，了解账号权限分布概况以及风险账号分布情况，可按照隐藏账号、弱密码账号、可疑root权限账号、长期未使用账号、夜间登录、多IP登录进行账号分类查看，支持统计最近一年未修改密码的账户。</w:t>
            </w:r>
          </w:p>
          <w:p>
            <w:pPr>
              <w:adjustRightInd w:val="0"/>
              <w:snapToGrid w:val="0"/>
              <w:spacing w:line="288" w:lineRule="auto"/>
              <w:jc w:val="left"/>
              <w:rPr>
                <w:rFonts w:ascii="宋体" w:hAnsi="宋体" w:cs="宋体"/>
                <w:bCs/>
                <w:sz w:val="21"/>
                <w:szCs w:val="21"/>
              </w:rPr>
            </w:pPr>
            <w:r>
              <w:rPr>
                <w:rFonts w:ascii="宋体" w:hAnsi="宋体" w:cs="宋体"/>
                <w:b/>
                <w:sz w:val="21"/>
                <w:szCs w:val="21"/>
              </w:rPr>
              <w:t>4</w:t>
            </w:r>
            <w:r>
              <w:rPr>
                <w:rFonts w:hint="eastAsia" w:ascii="宋体" w:hAnsi="宋体" w:cs="宋体"/>
                <w:b/>
                <w:sz w:val="21"/>
                <w:szCs w:val="21"/>
              </w:rPr>
              <w:t>、系统维护</w:t>
            </w:r>
            <w:r>
              <w:rPr>
                <w:rFonts w:hint="eastAsia" w:ascii="宋体" w:hAnsi="宋体" w:cs="宋体"/>
                <w:bCs/>
                <w:sz w:val="21"/>
                <w:szCs w:val="21"/>
              </w:rPr>
              <w:tab/>
            </w:r>
          </w:p>
          <w:p>
            <w:pPr>
              <w:adjustRightInd w:val="0"/>
              <w:snapToGrid w:val="0"/>
              <w:spacing w:line="288" w:lineRule="auto"/>
              <w:jc w:val="left"/>
              <w:rPr>
                <w:rFonts w:ascii="宋体" w:hAnsi="宋体" w:cs="宋体"/>
                <w:bCs/>
                <w:sz w:val="21"/>
                <w:szCs w:val="21"/>
              </w:rPr>
            </w:pPr>
            <w:r>
              <w:rPr>
                <w:rFonts w:hint="eastAsia" w:ascii="宋体" w:hAnsi="宋体" w:cs="宋体"/>
                <w:b/>
                <w:sz w:val="21"/>
                <w:szCs w:val="21"/>
              </w:rPr>
              <w:t>消息下发：</w:t>
            </w:r>
            <w:r>
              <w:rPr>
                <w:rFonts w:hint="eastAsia" w:ascii="宋体" w:hAnsi="宋体" w:cs="宋体"/>
                <w:bCs/>
                <w:sz w:val="21"/>
                <w:szCs w:val="21"/>
              </w:rPr>
              <w:t>支持对在线终端下发实时通知消息；</w:t>
            </w:r>
          </w:p>
          <w:p>
            <w:pPr>
              <w:adjustRightInd w:val="0"/>
              <w:snapToGrid w:val="0"/>
              <w:spacing w:line="288" w:lineRule="auto"/>
              <w:jc w:val="left"/>
              <w:rPr>
                <w:rFonts w:ascii="宋体" w:hAnsi="宋体" w:cs="宋体"/>
                <w:bCs/>
                <w:sz w:val="21"/>
                <w:szCs w:val="21"/>
              </w:rPr>
            </w:pPr>
            <w:r>
              <w:rPr>
                <w:rFonts w:hint="eastAsia" w:ascii="宋体" w:hAnsi="宋体" w:cs="宋体"/>
                <w:b/>
                <w:sz w:val="21"/>
                <w:szCs w:val="21"/>
              </w:rPr>
              <w:t>终端日志报表：</w:t>
            </w:r>
            <w:r>
              <w:rPr>
                <w:rFonts w:hint="eastAsia" w:ascii="宋体" w:hAnsi="宋体" w:cs="宋体"/>
                <w:bCs/>
                <w:sz w:val="21"/>
                <w:szCs w:val="21"/>
              </w:rPr>
              <w:t>支持根据统计周期、终端名称、IP地址，补丁信息和漏洞等级等多维度的入侵检测日志，杀毒扫描日志，微隔离日志，合规检测日志，管理员操作日志，运维日志，联动日志等的日志查询和检测；</w:t>
            </w:r>
          </w:p>
          <w:p>
            <w:pPr>
              <w:adjustRightInd w:val="0"/>
              <w:snapToGrid w:val="0"/>
              <w:spacing w:line="288" w:lineRule="auto"/>
              <w:jc w:val="left"/>
              <w:rPr>
                <w:rFonts w:ascii="宋体" w:hAnsi="宋体" w:cs="宋体"/>
                <w:bCs/>
                <w:sz w:val="21"/>
                <w:szCs w:val="21"/>
              </w:rPr>
            </w:pPr>
            <w:r>
              <w:rPr>
                <w:rFonts w:hint="eastAsia" w:ascii="宋体" w:hAnsi="宋体" w:cs="宋体"/>
                <w:b/>
                <w:sz w:val="21"/>
                <w:szCs w:val="21"/>
              </w:rPr>
              <w:t>终端风险报表：</w:t>
            </w:r>
            <w:r>
              <w:rPr>
                <w:rFonts w:hint="eastAsia" w:ascii="宋体" w:hAnsi="宋体" w:cs="宋体"/>
                <w:bCs/>
                <w:sz w:val="21"/>
                <w:szCs w:val="21"/>
              </w:rPr>
              <w:t>支持导出针对全网终端的终端风险报告，从整体分析全网安全状况，快速了解业务和网络的安全风险，提供安全规划建设建议</w:t>
            </w:r>
          </w:p>
          <w:p>
            <w:pPr>
              <w:adjustRightInd w:val="0"/>
              <w:snapToGrid w:val="0"/>
              <w:spacing w:line="288" w:lineRule="auto"/>
              <w:jc w:val="left"/>
              <w:rPr>
                <w:rFonts w:ascii="宋体" w:hAnsi="宋体" w:cs="宋体"/>
                <w:bCs/>
                <w:sz w:val="21"/>
                <w:szCs w:val="21"/>
              </w:rPr>
            </w:pPr>
            <w:r>
              <w:rPr>
                <w:rFonts w:hint="eastAsia" w:ascii="宋体" w:hAnsi="宋体" w:cs="宋体"/>
                <w:b/>
                <w:sz w:val="21"/>
                <w:szCs w:val="21"/>
              </w:rPr>
              <w:t>邮件告警：</w:t>
            </w:r>
            <w:r>
              <w:rPr>
                <w:rFonts w:hint="eastAsia" w:ascii="宋体" w:hAnsi="宋体" w:cs="宋体"/>
                <w:bCs/>
                <w:sz w:val="21"/>
                <w:szCs w:val="21"/>
              </w:rPr>
              <w:t xml:space="preserve">支持针对管理控制中心性能，安全事件，勒索病毒事件等邮件告警 </w:t>
            </w:r>
          </w:p>
          <w:p>
            <w:pPr>
              <w:adjustRightInd w:val="0"/>
              <w:snapToGrid w:val="0"/>
              <w:spacing w:line="288" w:lineRule="auto"/>
              <w:jc w:val="left"/>
              <w:rPr>
                <w:rFonts w:ascii="宋体" w:hAnsi="宋体" w:cs="宋体"/>
                <w:bCs/>
                <w:sz w:val="21"/>
                <w:szCs w:val="21"/>
              </w:rPr>
            </w:pPr>
            <w:r>
              <w:rPr>
                <w:rFonts w:hint="eastAsia" w:ascii="宋体" w:hAnsi="宋体" w:cs="宋体"/>
                <w:b/>
                <w:sz w:val="21"/>
                <w:szCs w:val="21"/>
              </w:rPr>
              <w:t>升级管理：</w:t>
            </w:r>
            <w:r>
              <w:rPr>
                <w:rFonts w:hint="eastAsia" w:ascii="宋体" w:hAnsi="宋体" w:cs="宋体"/>
                <w:bCs/>
                <w:sz w:val="21"/>
                <w:szCs w:val="21"/>
              </w:rPr>
              <w:t>支持客户端的错峰升级或灰度升级，可根据实际情况控制客户端同时升级的最大数量，避免大量终端程序同时更新造成网络拥堵或I/O风暴</w:t>
            </w:r>
          </w:p>
          <w:p>
            <w:pPr>
              <w:adjustRightInd w:val="0"/>
              <w:snapToGrid w:val="0"/>
              <w:spacing w:line="288" w:lineRule="auto"/>
              <w:jc w:val="left"/>
              <w:rPr>
                <w:rFonts w:ascii="宋体" w:hAnsi="宋体" w:cs="宋体"/>
                <w:bCs/>
                <w:sz w:val="21"/>
                <w:szCs w:val="21"/>
              </w:rPr>
            </w:pPr>
            <w:r>
              <w:rPr>
                <w:rFonts w:hint="eastAsia" w:ascii="宋体" w:hAnsi="宋体" w:cs="宋体"/>
                <w:b/>
                <w:bCs/>
                <w:sz w:val="21"/>
                <w:szCs w:val="21"/>
              </w:rPr>
              <w:t>5、产品资质</w:t>
            </w:r>
            <w:r>
              <w:rPr>
                <w:rFonts w:hint="eastAsia" w:ascii="宋体" w:hAnsi="宋体" w:cs="宋体"/>
                <w:bCs/>
                <w:sz w:val="21"/>
                <w:szCs w:val="21"/>
              </w:rPr>
              <w:t>：提供公安部网络安全保卫局颁发的《计算机信息系统安全专用产品销售许可证》网络版防病毒产品（一级品）资质证书，附于技术偏离表后。</w:t>
            </w:r>
          </w:p>
        </w:tc>
      </w:tr>
    </w:tbl>
    <w:p>
      <w:bookmarkStart w:id="1" w:name="_GoBack"/>
      <w:bookmarkEnd w:id="1"/>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6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97B0CF4"/>
    <w:rsid w:val="697B0CF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8"/>
      <w:szCs w:val="24"/>
      <w:lang w:val="en-US" w:eastAsia="zh-CN" w:bidi="ar-SA"/>
    </w:rPr>
  </w:style>
  <w:style w:type="character" w:default="1" w:styleId="3">
    <w:name w:val="Default Paragraph Font"/>
    <w:semiHidden/>
    <w:uiPriority w:val="0"/>
  </w:style>
  <w:style w:type="table" w:default="1" w:styleId="2">
    <w:name w:val="Normal Table"/>
    <w:semiHidden/>
    <w:uiPriority w:val="0"/>
    <w:tblPr>
      <w:tblCellMar>
        <w:top w:w="0" w:type="dxa"/>
        <w:left w:w="108" w:type="dxa"/>
        <w:bottom w:w="0" w:type="dxa"/>
        <w:right w:w="108" w:type="dxa"/>
      </w:tblCellMar>
    </w:tblPr>
  </w:style>
</w:styles>
</file>

<file path=word/_rels/document.xml.rels><?xml version="1.0" encoding="UTF-8"?>

<Relationships xmlns="http://schemas.openxmlformats.org/package/2006/relationships">
  <Relationship Id="rId1"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theme" Target="theme/theme1.xml"/>
  <Relationship Id="rId4" Type="http://schemas.openxmlformats.org/officeDocument/2006/relationships/customXml" Target="../customXml/item1.xml"/>
  <Relationship Id="rId5" Type="http://schemas.openxmlformats.org/officeDocument/2006/relationships/fontTable" Target="fontTable.xml"/>
</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Relationships xmlns="http://schemas.openxmlformats.org/package/2006/relationships">
  <Relationship Id="rId1" Type="http://schemas.openxmlformats.org/officeDocument/2006/relationships/customXmlProps" Target="itemProps1.xml"/>
</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Office_11.1.0.11045_F1E327BC-269C-435d-A152-05C5408002CA</Application>
  <DocSecurity>0</DocSecurity>
</Properties>
</file>

<file path=docProps/core.xml><?xml version="1.0" encoding="utf-8"?>
<coreProperties xmlns="http://schemas.openxmlformats.org/package/2006/metadata/core-properties" xmlns:cp="http://schemas.openxmlformats.org/package/2006/metadata/core-properties" xmlns:dc="http://purl.org/dc/elements/1.1/" xmlns:dcterms="http://purl.org/dc/terms/" xmlns:xsi="http://www.w3.org/2001/XMLSchema-instance">
  <dcterms:created xsi:type="dcterms:W3CDTF">2021-11-11T09:37:00Z</dcterms:created>
  <dc:creator>amander</dc:creator>
  <lastModifiedBy>amander</lastModifiedBy>
  <dcterms:modified xsi:type="dcterms:W3CDTF">2021-11-11T09:38:08Z</dcterms:modified>
  <revision>1</revision>
</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2052-11.1.0.11045</vt:lpwstr>
  </property>
  <property fmtid="{D5CDD505-2E9C-101B-9397-08002B2CF9AE}" pid="3" name="ICV">
    <vt:lpwstr>284F30219B02465F8B221E1ADDA3B32A</vt:lpwstr>
  </property>
</Properties>
</file>