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采购需求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一、为落实政府采购政策需满足的要求：</w:t>
      </w:r>
    </w:p>
    <w:tbl>
      <w:tblPr>
        <w:tblStyle w:val="2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0" w:name="_Hlk45005599"/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政策名称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政府采购进口产品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政府强制采购节能产品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政府优先采购节能、环保产品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16"/>
                <w:highlight w:val="none"/>
              </w:rPr>
              <w:t>政府采购支持科技创新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政府采购促进中小企业发展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本项目整体专门面向小微企业采购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服务由小微企业承接，即提供服务的人员为小微企业依照《中华人民共和国劳动合同法》订立劳动合同的从业人员）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监狱企业、残疾人福利性单位视同小型、微型企业；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提供材料详见磋商文件第六章“资格文件”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本项目属性为：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服务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采购标的对应的中小企业划分标准所属行业：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其他未列明行业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中小企业划型标准：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政府采购支持监狱企业发展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提供材料详见磋商文件第六章“资格文件”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政府采购促进残疾人就业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提供材料详见磋商文件第六章“资格文件”</w:t>
            </w:r>
          </w:p>
        </w:tc>
      </w:tr>
      <w:bookmarkEnd w:id="0"/>
    </w:tbl>
    <w:p>
      <w:pPr>
        <w:adjustRightInd w:val="0"/>
        <w:snapToGrid w:val="0"/>
        <w:spacing w:line="288" w:lineRule="auto"/>
        <w:rPr>
          <w:rFonts w:ascii="宋体" w:hAnsi="宋体"/>
          <w:b/>
          <w:color w:val="auto"/>
          <w:sz w:val="21"/>
          <w:szCs w:val="21"/>
          <w:highlight w:val="none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二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采购资金的支付方式、时间、条件：</w:t>
      </w:r>
    </w:p>
    <w:tbl>
      <w:tblPr>
        <w:tblStyle w:val="2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color w:val="auto"/>
                <w:spacing w:val="-6"/>
                <w:sz w:val="21"/>
                <w:szCs w:val="21"/>
                <w:highlight w:val="none"/>
              </w:rPr>
            </w:pPr>
            <w:bookmarkStart w:id="1" w:name="_Hlk45005608"/>
            <w:r>
              <w:rPr>
                <w:rFonts w:hint="eastAsia" w:ascii="宋体" w:hAnsi="宋体"/>
                <w:b/>
                <w:color w:val="auto"/>
                <w:spacing w:val="-6"/>
                <w:sz w:val="21"/>
                <w:szCs w:val="21"/>
                <w:highlight w:val="none"/>
              </w:rPr>
              <w:t>▲履约保证金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1.合同签订后一周内，成交供应商向采购人提交合同总价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的履约保证金，履约保证金在合同履约期间无违约情形的，项目验收结束后，于一周内退还（不计息）；逾期退还的，自逾期之日起，向中标人每日偿付合同价款的0.05%的违约金；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2.提交方式：支票、汇票、本票等非现金形式。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6"/>
                <w:sz w:val="21"/>
                <w:szCs w:val="21"/>
                <w:highlight w:val="none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合同生效以及具备实施条件后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7个工作日内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，且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</w:rPr>
              <w:t>供应商已向采购人提交银行、保险公司等金融机构出具的预付款保函的（等额），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采购人向供应商支付合同总价的4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%；项目履约完成，经采购人验收合格后，收到发票后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5个工作日内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，采购人向供应商支付合同总价的</w:t>
            </w:r>
            <w:r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0%。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</w:rPr>
              <w:t>逾期支付货款的，自逾期之日起，向中标人每日偿付未付价款0.05%的滞纳金。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在签订合同时，供应商明确表示无需预付款或者主动要求降低预付款比例的，可降低预付款比例（预付款保函同步调整）。</w:t>
            </w:r>
          </w:p>
        </w:tc>
      </w:tr>
      <w:bookmarkEnd w:id="1"/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color w:val="auto"/>
          <w:sz w:val="21"/>
          <w:szCs w:val="21"/>
          <w:highlight w:val="none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三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服务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要求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（技术要求里另有注明的以技术要求为准）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：</w:t>
      </w:r>
    </w:p>
    <w:tbl>
      <w:tblPr>
        <w:tblStyle w:val="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交付时间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自合同签署生效之日起至成交供应商所承担的活动全部工作结束止。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交付地点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采购人指定地点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/>
          <w:color w:val="auto"/>
          <w:sz w:val="21"/>
          <w:szCs w:val="21"/>
          <w:highlight w:val="none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四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、技术要求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：</w:t>
      </w: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ascii="宋体" w:hAnsi="宋体" w:cs="宋体"/>
          <w:b/>
          <w:bCs/>
          <w:color w:val="auto"/>
          <w:sz w:val="21"/>
          <w:szCs w:val="21"/>
          <w:highlight w:val="none"/>
        </w:rPr>
        <w:t>.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需执行的国家相关标准、行业标准、地方标准或者其他标准、规范：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如技术要求中未注明需执行的国家相关标准、行业标准、地方标准或者其他标准、规范的，执行最新标准、规范。</w:t>
      </w:r>
    </w:p>
    <w:p>
      <w:pPr>
        <w:adjustRightInd w:val="0"/>
        <w:snapToGrid w:val="0"/>
        <w:ind w:firstLine="422" w:firstLineChars="200"/>
        <w:rPr>
          <w:rFonts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项目概况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为进一步增强大学生对党史、军史的全面了解和正确认识，继承革命传统，强化当代青年的国防意识、责任意识，</w:t>
      </w:r>
      <w:r>
        <w:rPr>
          <w:rFonts w:ascii="宋体" w:hAnsi="宋体"/>
          <w:color w:val="auto"/>
          <w:sz w:val="21"/>
          <w:szCs w:val="21"/>
          <w:highlight w:val="none"/>
        </w:rPr>
        <w:t>2022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级学生军训期间，开展形式多样的国防军事教育。本次军训相关活动搭建的舞台用于组织参训学员观看红色电影、军训动员大会、大合唱、总结表彰大会等活动。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▲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时间：202</w:t>
      </w:r>
      <w:r>
        <w:rPr>
          <w:rFonts w:ascii="宋体" w:hAnsi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年</w:t>
      </w:r>
      <w:r>
        <w:rPr>
          <w:rFonts w:ascii="宋体" w:hAnsi="宋体"/>
          <w:color w:val="auto"/>
          <w:sz w:val="21"/>
          <w:szCs w:val="21"/>
          <w:highlight w:val="none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ascii="宋体" w:hAnsi="宋体"/>
          <w:color w:val="auto"/>
          <w:sz w:val="21"/>
          <w:szCs w:val="21"/>
          <w:highlight w:val="none"/>
        </w:rPr>
        <w:t>27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日-</w:t>
      </w:r>
      <w:r>
        <w:rPr>
          <w:rFonts w:ascii="宋体" w:hAnsi="宋体"/>
          <w:color w:val="auto"/>
          <w:sz w:val="21"/>
          <w:szCs w:val="21"/>
          <w:highlight w:val="none"/>
        </w:rPr>
        <w:t>2022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年</w:t>
      </w:r>
      <w:r>
        <w:rPr>
          <w:rFonts w:ascii="宋体" w:hAnsi="宋体"/>
          <w:color w:val="auto"/>
          <w:sz w:val="21"/>
          <w:szCs w:val="21"/>
          <w:highlight w:val="none"/>
        </w:rPr>
        <w:t>9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ascii="宋体" w:hAnsi="宋体"/>
          <w:color w:val="auto"/>
          <w:sz w:val="21"/>
          <w:szCs w:val="21"/>
          <w:highlight w:val="none"/>
        </w:rPr>
        <w:t>7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日，共计</w:t>
      </w:r>
      <w:r>
        <w:rPr>
          <w:rFonts w:ascii="宋体" w:hAnsi="宋体"/>
          <w:color w:val="auto"/>
          <w:sz w:val="21"/>
          <w:szCs w:val="21"/>
          <w:highlight w:val="none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天，</w:t>
      </w:r>
      <w:r>
        <w:rPr>
          <w:rFonts w:ascii="宋体" w:hAnsi="宋体"/>
          <w:color w:val="auto"/>
          <w:sz w:val="21"/>
          <w:szCs w:val="21"/>
          <w:highlight w:val="none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ascii="宋体" w:hAnsi="宋体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日须交台彩排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搭建的舞台服务包含项目如下：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（1）舞台搭建：尺寸长度不低于1</w:t>
      </w:r>
      <w:r>
        <w:rPr>
          <w:rFonts w:ascii="宋体" w:hAnsi="宋体"/>
          <w:color w:val="auto"/>
          <w:sz w:val="21"/>
          <w:szCs w:val="21"/>
          <w:highlight w:val="none"/>
        </w:rPr>
        <w:t>6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M，宽度不低于</w:t>
      </w:r>
      <w:r>
        <w:rPr>
          <w:rFonts w:ascii="宋体" w:hAnsi="宋体"/>
          <w:color w:val="auto"/>
          <w:sz w:val="21"/>
          <w:szCs w:val="21"/>
          <w:highlight w:val="none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米，需要配备二级舞台，舞台板平整，地毯为红色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（2）舞台面光区离舞台正前方20米以上，高度不低于7米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（3）装灯、布景，位置必须符合演出要求。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（4）满足现场声场演出需求，达到专业演出要求，喇叭需要吊挂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（5）P2高清屏幕不少于</w:t>
      </w:r>
      <w:r>
        <w:rPr>
          <w:rFonts w:ascii="宋体" w:hAnsi="宋体"/>
          <w:color w:val="auto"/>
          <w:sz w:val="21"/>
          <w:szCs w:val="21"/>
          <w:highlight w:val="none"/>
        </w:rPr>
        <w:t>80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方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（6）灯光种类至少包含有光束灯、LED染色灯、切割灯等，效果需要达到现场整体演出要求。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</w:t>
      </w:r>
      <w:r>
        <w:rPr>
          <w:rFonts w:ascii="宋体" w:hAnsi="宋体"/>
          <w:color w:val="auto"/>
          <w:sz w:val="21"/>
          <w:szCs w:val="21"/>
          <w:highlight w:val="none"/>
        </w:rPr>
        <w:t>7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）执行团队具有同类型或更高规格的活动承办经历，执行团队人员配置齐全，包含灯光师、音响师、VJ师等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（8）具体租赁参考设备清单如下</w:t>
      </w:r>
    </w:p>
    <w:tbl>
      <w:tblPr>
        <w:tblStyle w:val="2"/>
        <w:tblW w:w="86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8"/>
        <w:gridCol w:w="3112"/>
        <w:gridCol w:w="1287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3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  <w:highlight w:val="none"/>
              </w:rPr>
              <w:t>2022年8月27号舞台需求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舞台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16M*2M*1.2M高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16M*4M*0.8米高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地毯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拉绒红色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上下台阶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雷亚架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光束灯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ACME-380BEAM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图案灯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ACME-1000W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LED帕灯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LQE3W*54珠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像素条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146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控制器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薄雾机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DJpower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N</w:t>
            </w:r>
            <w:r>
              <w:rPr>
                <w:rStyle w:val="4"/>
                <w:rFonts w:hint="eastAsia" w:ascii="宋体" w:hAnsi="宋体" w:eastAsia="宋体" w:cs="仿宋_GB2312"/>
                <w:color w:val="auto"/>
                <w:sz w:val="21"/>
                <w:szCs w:val="21"/>
                <w:highlight w:val="none"/>
                <w:lang w:bidi="ar"/>
              </w:rPr>
              <w:t>PU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灯光控制台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MA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线缆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线阵全频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线阵低音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 SUB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反听音响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手持话筒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UR4D+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数字调音台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迈达斯M32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音响线材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P2高清LED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主屏：12M*5M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侧屏1：3M*6M*2组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侧屏2:6M*6M*2组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边条屏：1M*6M*4组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斜坡屏：10M*1M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控台V6+服务器S3，备份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2022年8月28号-9月3号舞台需求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舞台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12M*2M*1.2M高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12M*4M*0.8米高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地毯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拉绒红色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上下台阶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雷亚架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光束灯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ACME-380BEAM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图案灯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ACME-1000W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LED帕灯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LQE3W*54珠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像素条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控制器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薄雾机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DJpower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NPU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灯光控制台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MA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线缆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线阵全频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线阵低音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 SUB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反听音响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手持话筒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UR4D+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合唱话筒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KM184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数字调音台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迈达斯M32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音响线材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P2高清LED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主屏：12M*5M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斜坡屏：10M*1M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控台V6+服务器S3，备份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2022年9月4号-9月7号舞台需求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结构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舞台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14M*2M*1.2M高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14M*6M*0.8米高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电动葫芦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合唱台阶2排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两侧上下场台阶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喷绘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5M*3M*4块，无味黑白布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地毯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红色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龙门架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光束灯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ACME-380BW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LED帕灯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3W*54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切割灯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ACME-1000W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薄雾机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薄雾机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灯光控制台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MA控台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NPU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韵鹏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线缆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线阵全频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线阵低音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M-F3A PRO SUB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反听音响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SE M15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手持话筒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UR4D+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乐器话筒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KM184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数字调音台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迈达斯M32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音响线材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高清P2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主屏：14M*5M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斜坡屏：10M*1M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服务器S3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运营需求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人员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灯光师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音响师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VJ师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1人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工人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搭拆45工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45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运输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货车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搭拆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10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装卸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吊车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VmZGVkMzM5NGIyYzAzYzM1YzM3YzU3NDM0OTEifQ=="/>
  </w:docVars>
  <w:rsids>
    <w:rsidRoot w:val="321523F3"/>
    <w:rsid w:val="321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2022-08-10T09:08:00Z</dcterms:created>
  <dc:creator>optiPlex 7070</dc:creator>
  <lastModifiedBy>optiPlex 7070</lastModifiedBy>
  <dcterms:modified xsi:type="dcterms:W3CDTF">2022-08-10T09:08:10Z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BCD2AEF26450493599B3737C6669AD28</vt:lpwstr>
  </property>
</Properties>
</file>