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ind w:right="62" w:firstLine="643" w:firstLineChars="200"/>
        <w:jc w:val="center"/>
        <w:outlineLvl w:val="0"/>
        <w:rPr>
          <w:rFonts w:ascii="宋体" w:hAnsi="宋体" w:cs="宋体"/>
          <w:spacing w:val="-6"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一、为落实政府采购政策需满足的要求：</w:t>
      </w:r>
    </w:p>
    <w:tbl>
      <w:tblPr>
        <w:tblStyle w:val="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56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bookmarkStart w:id="0" w:name="_Hlk45005599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政策名称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政府采购进口产品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不允许采购进口产品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政府强制采购节能产品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政府优先采购节能、环保产品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政府采购支持科技创新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政府采购促进中小企业发展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提供材料详见磋商文件第六章“报价文件”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本项目属性为：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服务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采购标的对应的中小企业划分标准所属行业：</w:t>
            </w:r>
            <w:r>
              <w:rPr>
                <w:rFonts w:hint="eastAsia" w:ascii="宋体" w:hAnsi="宋体"/>
                <w:sz w:val="21"/>
                <w:szCs w:val="21"/>
              </w:rPr>
              <w:t>其他未列明行业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中小企业划型标准：</w:t>
            </w:r>
            <w:r>
              <w:rPr>
                <w:rFonts w:hint="eastAsia" w:ascii="宋体" w:hAnsi="宋体"/>
                <w:sz w:val="21"/>
                <w:szCs w:val="21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政府采购支持监狱企业发展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提供材料详见磋商文件第六章“报价文件”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政府采购促进残疾人就业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提供材料详见磋商文件第六章“报价文件”</w:t>
            </w:r>
          </w:p>
        </w:tc>
      </w:tr>
      <w:bookmarkEnd w:id="0"/>
    </w:tbl>
    <w:p>
      <w:pPr>
        <w:adjustRightInd w:val="0"/>
        <w:snapToGrid w:val="0"/>
        <w:spacing w:line="288" w:lineRule="auto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  <w:highlight w:val="yellow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采购资金的支付方式、时间、条件：</w:t>
      </w:r>
    </w:p>
    <w:tbl>
      <w:tblPr>
        <w:tblStyle w:val="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bookmarkStart w:id="1" w:name="_Hlk45005608"/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▲履约保证金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396" w:firstLineChars="200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1.合同签订后一周内，成交供应商向采购人提交合同总价</w:t>
            </w: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%的履约保证金，履约保证金在合同履约期间无违约情形的，项目验收结束后，于一周内退还（不计息）；</w:t>
            </w:r>
          </w:p>
          <w:p>
            <w:pPr>
              <w:adjustRightInd w:val="0"/>
              <w:snapToGrid w:val="0"/>
              <w:spacing w:line="288" w:lineRule="auto"/>
              <w:ind w:firstLine="396" w:firstLineChars="200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2.提交方式：支票、汇票、本票或金融机构、担保机构出具的保函等非现金形式。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▲付款方式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ind w:firstLine="396" w:firstLineChars="200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合同生效以及具备实施条件后</w:t>
            </w: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7个工作日内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，且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供应商已向采购人提交银行、保险公司等金融机构出具的预付款保函的，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向供应商支付合同总价的4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%；项目履约完成，经采购人验收合格后，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收到发票后</w:t>
            </w: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7个工作日内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采购人向供应商支付合同总价的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0%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。</w:t>
            </w:r>
          </w:p>
        </w:tc>
      </w:tr>
      <w:bookmarkEnd w:id="1"/>
    </w:tbl>
    <w:p>
      <w:pPr>
        <w:adjustRightInd w:val="0"/>
        <w:snapToGrid w:val="0"/>
        <w:spacing w:line="288" w:lineRule="auto"/>
        <w:ind w:left="238" w:hanging="238" w:hangingChars="113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</w:t>
      </w:r>
      <w:r>
        <w:rPr>
          <w:rFonts w:hint="eastAsia" w:ascii="宋体" w:hAnsi="宋体"/>
          <w:b/>
          <w:sz w:val="21"/>
          <w:szCs w:val="21"/>
        </w:rPr>
        <w:t>（技术要求里另有注明的以技术要求为准）</w:t>
      </w:r>
      <w:r>
        <w:rPr>
          <w:rFonts w:ascii="宋体" w:hAnsi="宋体"/>
          <w:b/>
          <w:sz w:val="21"/>
          <w:szCs w:val="21"/>
        </w:rPr>
        <w:t>：</w:t>
      </w:r>
    </w:p>
    <w:tbl>
      <w:tblPr>
        <w:tblStyle w:val="4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交付时间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合同签订后15日历天内完成设计及所有布展服务工作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交付地点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质保期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2年，项目验收合格后开始计算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▲质保期不满足磋商文件要求的响应无效。</w:t>
            </w:r>
          </w:p>
        </w:tc>
      </w:tr>
    </w:tbl>
    <w:p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</w:t>
      </w:r>
      <w:r>
        <w:rPr>
          <w:rFonts w:ascii="宋体" w:hAnsi="宋体"/>
          <w:b/>
          <w:sz w:val="21"/>
          <w:szCs w:val="21"/>
        </w:rPr>
        <w:t>、技术要求</w:t>
      </w:r>
      <w:r>
        <w:rPr>
          <w:rFonts w:hint="eastAsia" w:ascii="宋体" w:hAnsi="宋体"/>
          <w:b/>
          <w:sz w:val="21"/>
          <w:szCs w:val="21"/>
        </w:rPr>
        <w:t>：</w:t>
      </w: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1</w:t>
      </w:r>
      <w:r>
        <w:rPr>
          <w:rFonts w:ascii="宋体" w:hAnsi="宋体" w:cs="宋体"/>
          <w:b/>
          <w:bCs/>
          <w:sz w:val="21"/>
          <w:szCs w:val="21"/>
        </w:rPr>
        <w:t>.</w:t>
      </w:r>
      <w:r>
        <w:rPr>
          <w:rFonts w:hint="eastAsia" w:ascii="宋体" w:hAnsi="宋体" w:cs="宋体"/>
          <w:b/>
          <w:bCs/>
          <w:sz w:val="21"/>
          <w:szCs w:val="21"/>
        </w:rPr>
        <w:t>需执行的国家相关标准、行业标准、地方标准或者其他标准、规范：</w:t>
      </w:r>
      <w:r>
        <w:rPr>
          <w:rFonts w:hint="eastAsia" w:ascii="宋体" w:hAnsi="宋体"/>
          <w:sz w:val="21"/>
          <w:szCs w:val="21"/>
        </w:rPr>
        <w:t>如技术要求中未注明需执行的国家相关标准、行业标准、地方标准或者其他标准、规范的，执行最新标准、规范。</w:t>
      </w: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2.需实现的目标：</w:t>
      </w: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（一）项目概况</w:t>
      </w:r>
    </w:p>
    <w:p>
      <w:pPr>
        <w:pStyle w:val="3"/>
        <w:spacing w:before="0" w:beforeAutospacing="0" w:after="0" w:afterAutospacing="0" w:line="288" w:lineRule="auto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  <w:lang w:eastAsia="zh-Hans"/>
        </w:rPr>
        <w:t>浙大城市学院</w:t>
      </w:r>
      <w:r>
        <w:rPr>
          <w:rFonts w:hint="eastAsia" w:cs="宋体"/>
          <w:sz w:val="21"/>
          <w:szCs w:val="21"/>
        </w:rPr>
        <w:t>城翼年华活动中心位于浙大城市学院理科楼4号，是集党建思政教育、文化展示展演、心理素质建设、学生学习创业、师生生活休闲功能为一体的校园文化高地。</w:t>
      </w:r>
    </w:p>
    <w:p>
      <w:pPr>
        <w:pStyle w:val="3"/>
        <w:spacing w:before="0" w:beforeAutospacing="0" w:after="0" w:afterAutospacing="0" w:line="288" w:lineRule="auto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本项目为城翼年华活动中心室内文化展陈服务项目，主题为“墨香校园，博雅城韵”，展陈设计包括临展区、自习室1-2、招生办公室1-4、支部活动室、报告厅、</w:t>
      </w:r>
      <w:r>
        <w:rPr>
          <w:rFonts w:hint="eastAsia" w:cs="宋体"/>
          <w:sz w:val="21"/>
          <w:szCs w:val="21"/>
          <w:lang w:eastAsia="zh-Hans"/>
        </w:rPr>
        <w:t>会议</w:t>
      </w:r>
      <w:r>
        <w:rPr>
          <w:rFonts w:hint="eastAsia" w:cs="宋体"/>
          <w:sz w:val="21"/>
          <w:szCs w:val="21"/>
        </w:rPr>
        <w:t>室等区域。本项目旨在通过不同组合的室内文化装饰，融入浙大百年“求是”文脉、中华优秀传统文化及数智杭州的创新精神，使文化浸润至空间、景观、光线、触感等层面，突出城院厚植名校名城的底蕴优势，营造“墨香校园，博雅城韵”的空间氛围。</w:t>
      </w:r>
    </w:p>
    <w:p>
      <w:pPr>
        <w:pStyle w:val="3"/>
        <w:spacing w:before="0" w:beforeAutospacing="0" w:after="0" w:afterAutospacing="0" w:line="288" w:lineRule="auto"/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drawing>
          <wp:inline distT="0" distB="0" distL="114300" distR="114300">
            <wp:extent cx="5342255" cy="3777615"/>
            <wp:effectExtent l="0" t="0" r="10795" b="13335"/>
            <wp:docPr id="2" name="图片 2" descr="浙大城市学院平面图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浙大城市学院平面图1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288" w:lineRule="auto"/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drawing>
          <wp:inline distT="0" distB="0" distL="114300" distR="114300">
            <wp:extent cx="5226685" cy="3696335"/>
            <wp:effectExtent l="0" t="0" r="12065" b="18415"/>
            <wp:docPr id="3" name="图片 3" descr="浙大城市学院平面图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浙大城市学院平面图2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288" w:lineRule="auto"/>
        <w:rPr>
          <w:rFonts w:cs="宋体"/>
          <w:sz w:val="21"/>
          <w:szCs w:val="21"/>
        </w:rPr>
      </w:pP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（二）采购内容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413"/>
        <w:gridCol w:w="432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项目特征描述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临展区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临展区是文化展示展演核心功能区。展陈内容：</w:t>
            </w:r>
            <w:r>
              <w:rPr>
                <w:rFonts w:hint="eastAsia" w:ascii="宋体" w:hAnsi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临展区中庭墙面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中庭门入口墙面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南侧走廊东墙墙面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多功能厅墙面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晓风书屋西墙墙面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等墙面装饰。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玻璃门处于封死状态，需要装饰使其与墙面融为一体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自习室1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自习室1是学生学习求知功能功能区。展陈内容：东侧墙面及桌面、展柜装饰。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自习室2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自习室2是学生学习求知功能功能区。展陈内容：北侧墙面及桌面装饰。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招生办公室1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Hans"/>
              </w:rPr>
              <w:t>招生办公室是传扬校训的重要阵地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Hans"/>
              </w:rPr>
              <w:t>是校园文化的重要组成部分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。展陈内容:西侧墙面装饰。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招生办公室2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展陈内容：西侧墙面装饰。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招生办公室3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展陈内容：南侧墙面及西侧外墙装饰。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招生办公室4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展陈内容：西侧墙面及展柜、桌面装饰。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支部活动室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支部活动室是广大党员干部开展活动的重要场所。展陈内容：西侧墙面装饰及桌面装饰。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报告厅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报告厅是党建思政教育核心功能区。展陈内容:桌面及展柜装饰。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Hans"/>
              </w:rPr>
              <w:t>会议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室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Hans"/>
              </w:rPr>
              <w:t>会议室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是举办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Hans"/>
              </w:rPr>
              <w:t>大型研讨会、论证会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等重要场所。展陈内容：东侧墙面、展柜、桌面装饰。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829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绿植</w:t>
            </w:r>
          </w:p>
        </w:tc>
        <w:tc>
          <w:tcPr>
            <w:tcW w:w="2535" w:type="pct"/>
            <w:vAlign w:val="center"/>
          </w:tcPr>
          <w:p>
            <w:pPr>
              <w:pStyle w:val="2"/>
              <w:widowControl/>
              <w:spacing w:line="288" w:lineRule="auto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摆放点位：包括临展区、自习室1-2、招生办公室1-4、支部活动室、报告厅、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Hans"/>
              </w:rPr>
              <w:t>会议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室等区域的大中小型绿植。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widowControl/>
              <w:spacing w:line="288" w:lineRule="auto"/>
              <w:jc w:val="center"/>
              <w:rPr>
                <w:rFonts w:ascii="宋体" w:hAnsi="宋体" w:cs="宋体"/>
                <w:b w:val="0"/>
                <w:bCs/>
                <w:sz w:val="21"/>
                <w:szCs w:val="21"/>
                <w:lang w:eastAsia="zh-Hans"/>
              </w:rPr>
            </w:pPr>
          </w:p>
        </w:tc>
      </w:tr>
    </w:tbl>
    <w:p>
      <w:pPr>
        <w:widowControl/>
        <w:spacing w:line="288" w:lineRule="auto"/>
        <w:rPr>
          <w:rFonts w:ascii="宋体" w:hAnsi="宋体" w:cs="宋体"/>
          <w:sz w:val="21"/>
          <w:szCs w:val="21"/>
          <w:lang w:eastAsia="zh-Hans"/>
        </w:rPr>
      </w:pP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（三）项目布展原则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城翼年华活动中心的布展设计工作应凸显文化特征、地域特色、非遗特点、空间特性。着重把握以下原则：</w:t>
      </w:r>
    </w:p>
    <w:p>
      <w:pPr>
        <w:widowControl/>
        <w:spacing w:line="288" w:lineRule="auto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1.特征与特色的统一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</w:rPr>
        <w:t>既要充分考虑每个空间的硬装现状，满足使用对象的需求和空间的功能定位，也要凸显浙江大学百年的文脉传承和杭州千年底蕴，并展示中华优秀传统文化，体现浙江非遗特点，实现空间特性与文化特征的完美统一，丰富空间整体视觉效果，营造“墨香校园，博雅城韵”的文化氛围。</w:t>
      </w:r>
    </w:p>
    <w:p>
      <w:pPr>
        <w:widowControl/>
        <w:spacing w:line="288" w:lineRule="auto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2.系统完整与突出重点的统一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既要全面</w:t>
      </w:r>
      <w:r>
        <w:rPr>
          <w:rFonts w:hint="eastAsia" w:ascii="宋体" w:hAnsi="宋体" w:cs="宋体"/>
          <w:kern w:val="0"/>
          <w:sz w:val="21"/>
          <w:szCs w:val="21"/>
        </w:rPr>
        <w:t>展现“墨香校园，博雅城韵”主题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，又要有所侧重，突出重点</w:t>
      </w:r>
      <w:r>
        <w:rPr>
          <w:rFonts w:hint="eastAsia" w:ascii="宋体" w:hAnsi="宋体" w:cs="宋体"/>
          <w:kern w:val="0"/>
          <w:sz w:val="21"/>
          <w:szCs w:val="21"/>
        </w:rPr>
        <w:t>空间的文化展示和氛围营造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。既不以偏概全，又要以小见大。注重</w:t>
      </w:r>
      <w:r>
        <w:rPr>
          <w:rFonts w:hint="eastAsia" w:ascii="宋体" w:hAnsi="宋体" w:cs="宋体"/>
          <w:kern w:val="0"/>
          <w:sz w:val="21"/>
          <w:szCs w:val="21"/>
        </w:rPr>
        <w:t>空间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与</w:t>
      </w:r>
      <w:r>
        <w:rPr>
          <w:rFonts w:hint="eastAsia" w:ascii="宋体" w:hAnsi="宋体" w:cs="宋体"/>
          <w:kern w:val="0"/>
          <w:sz w:val="21"/>
          <w:szCs w:val="21"/>
        </w:rPr>
        <w:t>空间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之间、</w:t>
      </w:r>
      <w:r>
        <w:rPr>
          <w:rFonts w:hint="eastAsia" w:ascii="宋体" w:hAnsi="宋体" w:cs="宋体"/>
          <w:kern w:val="0"/>
          <w:sz w:val="21"/>
          <w:szCs w:val="21"/>
        </w:rPr>
        <w:t>装饰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与</w:t>
      </w:r>
      <w:r>
        <w:rPr>
          <w:rFonts w:hint="eastAsia" w:ascii="宋体" w:hAnsi="宋体" w:cs="宋体"/>
          <w:kern w:val="0"/>
          <w:sz w:val="21"/>
          <w:szCs w:val="21"/>
        </w:rPr>
        <w:t>装饰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之间的内在有机联系，</w:t>
      </w:r>
      <w:r>
        <w:rPr>
          <w:rFonts w:hint="eastAsia" w:ascii="宋体" w:hAnsi="宋体" w:cs="宋体"/>
          <w:kern w:val="0"/>
          <w:sz w:val="21"/>
          <w:szCs w:val="21"/>
        </w:rPr>
        <w:t>展陈安排逻辑合理且相互呼应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，形成展示内容的自然衔接和过渡。</w:t>
      </w:r>
    </w:p>
    <w:p>
      <w:pPr>
        <w:widowControl/>
        <w:spacing w:line="288" w:lineRule="auto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3.形式与内容的统一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内容是现实事物的内在要素，而形式是把事物内容诸要素统一起来的结构方式。注重形式和内容的统一，不仅是陈列布展的基本准则，也是准确把握</w:t>
      </w:r>
      <w:r>
        <w:rPr>
          <w:rFonts w:hint="eastAsia" w:ascii="宋体" w:hAnsi="宋体" w:cs="宋体"/>
          <w:kern w:val="0"/>
          <w:sz w:val="21"/>
          <w:szCs w:val="21"/>
        </w:rPr>
        <w:t>“墨香校园，博雅城韵”主题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的真实有效途径。</w:t>
      </w:r>
      <w:r>
        <w:rPr>
          <w:rFonts w:hint="eastAsia" w:ascii="宋体" w:hAnsi="宋体" w:cs="宋体"/>
          <w:kern w:val="0"/>
          <w:sz w:val="21"/>
          <w:szCs w:val="21"/>
        </w:rPr>
        <w:t>展陈布置要贴合城翼年华活动中心的硬装条件和空间功能。</w:t>
      </w: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（四）</w:t>
      </w:r>
      <w:r>
        <w:rPr>
          <w:rFonts w:hint="eastAsia" w:ascii="宋体" w:hAnsi="宋体" w:cs="宋体"/>
          <w:b/>
          <w:bCs/>
          <w:sz w:val="21"/>
          <w:szCs w:val="21"/>
          <w:lang w:eastAsia="zh-Hans"/>
        </w:rPr>
        <w:t>项目展陈设计要求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展陈设计原则：以现有的建筑图纸为基础，以创新的思维，运用现代设计理念与展示手法，突出陈列的艺术性、</w:t>
      </w:r>
      <w:r>
        <w:rPr>
          <w:rFonts w:hint="eastAsia" w:ascii="宋体" w:hAnsi="宋体" w:cs="宋体"/>
          <w:kern w:val="0"/>
          <w:sz w:val="21"/>
          <w:szCs w:val="21"/>
        </w:rPr>
        <w:t>融入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性与</w:t>
      </w:r>
      <w:r>
        <w:rPr>
          <w:rFonts w:hint="eastAsia" w:ascii="宋体" w:hAnsi="宋体" w:cs="宋体"/>
          <w:kern w:val="0"/>
          <w:sz w:val="21"/>
          <w:szCs w:val="21"/>
        </w:rPr>
        <w:t>人本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性，以展示的亮点突显陈列内容的重点，力求内容与形式的高度统一。在设计中，要体现“三个性”：</w:t>
      </w:r>
    </w:p>
    <w:p>
      <w:pPr>
        <w:widowControl/>
        <w:spacing w:line="288" w:lineRule="auto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</w:rPr>
        <w:t>1.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艺术性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所有艺术品除了按照艺术规律进行高水平创作外，必须充分考虑与</w:t>
      </w:r>
      <w:r>
        <w:rPr>
          <w:rFonts w:hint="eastAsia" w:ascii="宋体" w:hAnsi="宋体" w:cs="宋体"/>
          <w:kern w:val="0"/>
          <w:sz w:val="21"/>
          <w:szCs w:val="21"/>
        </w:rPr>
        <w:t>展陈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主题的高度契合，重点处理好空间布局、展品组合、局部细节的艺术构思。</w:t>
      </w:r>
    </w:p>
    <w:p>
      <w:pPr>
        <w:widowControl/>
        <w:spacing w:line="288" w:lineRule="auto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</w:rPr>
        <w:t>2.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融入性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根据项目内容特点，充分利用多种展示手法。通过营造情境氛围和</w:t>
      </w:r>
      <w:r>
        <w:rPr>
          <w:rFonts w:hint="eastAsia" w:ascii="宋体" w:hAnsi="宋体" w:cs="宋体"/>
          <w:kern w:val="0"/>
          <w:sz w:val="21"/>
          <w:szCs w:val="21"/>
        </w:rPr>
        <w:t>图像、实物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的结合运用，让</w:t>
      </w:r>
      <w:r>
        <w:rPr>
          <w:rFonts w:hint="eastAsia" w:ascii="宋体" w:hAnsi="宋体" w:cs="宋体"/>
          <w:kern w:val="0"/>
          <w:sz w:val="21"/>
          <w:szCs w:val="21"/>
        </w:rPr>
        <w:t>师生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通过展览有所思考、有所感悟，</w:t>
      </w:r>
      <w:r>
        <w:rPr>
          <w:rFonts w:hint="eastAsia" w:ascii="宋体" w:hAnsi="宋体" w:cs="宋体"/>
          <w:kern w:val="0"/>
          <w:sz w:val="21"/>
          <w:szCs w:val="21"/>
        </w:rPr>
        <w:t>感受浙大城市学院奋进百强的蓬勃朝气。</w:t>
      </w:r>
    </w:p>
    <w:p>
      <w:pPr>
        <w:widowControl/>
        <w:spacing w:line="288" w:lineRule="auto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</w:rPr>
        <w:t>3.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人本性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以</w:t>
      </w:r>
      <w:r>
        <w:rPr>
          <w:rFonts w:hint="eastAsia" w:ascii="宋体" w:hAnsi="宋体" w:cs="宋体"/>
          <w:kern w:val="0"/>
          <w:sz w:val="21"/>
          <w:szCs w:val="21"/>
        </w:rPr>
        <w:t>人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为本位进行设计，充分考虑</w:t>
      </w:r>
      <w:r>
        <w:rPr>
          <w:rFonts w:hint="eastAsia" w:ascii="宋体" w:hAnsi="宋体" w:cs="宋体"/>
          <w:kern w:val="0"/>
          <w:sz w:val="21"/>
          <w:szCs w:val="21"/>
        </w:rPr>
        <w:t>不同空间使用人群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的</w:t>
      </w:r>
      <w:r>
        <w:rPr>
          <w:rFonts w:hint="eastAsia" w:ascii="宋体" w:hAnsi="宋体" w:cs="宋体"/>
          <w:kern w:val="0"/>
          <w:sz w:val="21"/>
          <w:szCs w:val="21"/>
        </w:rPr>
        <w:t>需求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，采用多样化的表现形式；充分考虑观众观展的心理，把握好</w:t>
      </w:r>
      <w:r>
        <w:rPr>
          <w:rFonts w:hint="eastAsia" w:ascii="宋体" w:hAnsi="宋体" w:cs="宋体"/>
          <w:kern w:val="0"/>
          <w:sz w:val="21"/>
          <w:szCs w:val="21"/>
        </w:rPr>
        <w:t>展陈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节奏；充分考虑项目的互动，激发观众的观展兴趣；充分考虑展品展柜的组合，让观众舒服地观展，使之成为漾溢</w:t>
      </w:r>
      <w:r>
        <w:rPr>
          <w:rFonts w:hint="eastAsia" w:ascii="宋体" w:hAnsi="宋体" w:cs="宋体"/>
          <w:kern w:val="0"/>
          <w:sz w:val="21"/>
          <w:szCs w:val="21"/>
        </w:rPr>
        <w:t>墨香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气息、体现</w:t>
      </w:r>
      <w:r>
        <w:rPr>
          <w:rFonts w:hint="eastAsia" w:ascii="宋体" w:hAnsi="宋体" w:cs="宋体"/>
          <w:kern w:val="0"/>
          <w:sz w:val="21"/>
          <w:szCs w:val="21"/>
        </w:rPr>
        <w:t>求是文脉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的观览场所。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  <w:lang w:eastAsia="zh-Hans"/>
        </w:rPr>
      </w:pP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cs="宋体"/>
          <w:b/>
          <w:bCs/>
          <w:sz w:val="21"/>
          <w:szCs w:val="21"/>
        </w:rPr>
        <w:t>（五）</w:t>
      </w:r>
      <w:r>
        <w:rPr>
          <w:rFonts w:hint="eastAsia" w:ascii="宋体" w:hAnsi="宋体" w:cs="宋体"/>
          <w:b/>
          <w:bCs/>
          <w:sz w:val="21"/>
          <w:szCs w:val="21"/>
          <w:lang w:eastAsia="zh-Hans"/>
        </w:rPr>
        <w:t>需提交文件内容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</w:rPr>
        <w:t>供应商</w:t>
      </w: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需提交投标设计方案的具体内容和需求，包括但不限于: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cs="宋体"/>
          <w:kern w:val="0"/>
          <w:sz w:val="21"/>
          <w:szCs w:val="21"/>
          <w:lang w:eastAsia="zh-Hans"/>
        </w:rPr>
        <w:t>1.</w:t>
      </w:r>
      <w:r>
        <w:rPr>
          <w:rFonts w:hint="eastAsia" w:ascii="宋体" w:hAnsi="宋体" w:cs="宋体"/>
          <w:kern w:val="0"/>
          <w:sz w:val="21"/>
          <w:szCs w:val="21"/>
        </w:rPr>
        <w:t>展陈思路（包括概念界定、现状分析、功能分区、功能分解及展陈构思）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2.展陈方案（包括</w:t>
      </w:r>
      <w:r>
        <w:rPr>
          <w:rFonts w:hint="eastAsia" w:ascii="宋体" w:hAnsi="宋体" w:cs="宋体"/>
          <w:sz w:val="21"/>
          <w:szCs w:val="21"/>
        </w:rPr>
        <w:t>临展区、自习室1-2、招生办公室1-4、支部活动室、报告厅、</w:t>
      </w:r>
      <w:r>
        <w:rPr>
          <w:rFonts w:hint="eastAsia" w:ascii="宋体" w:hAnsi="宋体" w:cs="宋体"/>
          <w:sz w:val="21"/>
          <w:szCs w:val="21"/>
          <w:lang w:eastAsia="zh-Hans"/>
        </w:rPr>
        <w:t>会议</w:t>
      </w:r>
      <w:r>
        <w:rPr>
          <w:rFonts w:hint="eastAsia" w:ascii="宋体" w:hAnsi="宋体" w:cs="宋体"/>
          <w:sz w:val="21"/>
          <w:szCs w:val="21"/>
        </w:rPr>
        <w:t>室等区域的展陈设计方案，墙面装饰须出具效果图</w:t>
      </w:r>
      <w:r>
        <w:rPr>
          <w:rFonts w:hint="eastAsia" w:ascii="宋体" w:hAnsi="宋体" w:cs="宋体"/>
          <w:kern w:val="0"/>
          <w:sz w:val="21"/>
          <w:szCs w:val="21"/>
        </w:rPr>
        <w:t>）</w:t>
      </w:r>
    </w:p>
    <w:p>
      <w:pPr>
        <w:widowControl/>
        <w:spacing w:line="288" w:lineRule="auto"/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3.绿植方案（包括包括</w:t>
      </w:r>
      <w:r>
        <w:rPr>
          <w:rFonts w:hint="eastAsia" w:ascii="宋体" w:hAnsi="宋体" w:cs="宋体"/>
          <w:sz w:val="21"/>
          <w:szCs w:val="21"/>
        </w:rPr>
        <w:t>临展区、自习室1-2、招生办公室1-4、支部活动室、报告厅、</w:t>
      </w:r>
      <w:r>
        <w:rPr>
          <w:rFonts w:hint="eastAsia" w:ascii="宋体" w:hAnsi="宋体" w:cs="宋体"/>
          <w:sz w:val="21"/>
          <w:szCs w:val="21"/>
          <w:lang w:eastAsia="zh-Hans"/>
        </w:rPr>
        <w:t>会议</w:t>
      </w:r>
      <w:r>
        <w:rPr>
          <w:rFonts w:hint="eastAsia" w:ascii="宋体" w:hAnsi="宋体" w:cs="宋体"/>
          <w:sz w:val="21"/>
          <w:szCs w:val="21"/>
        </w:rPr>
        <w:t>室等区域的绿植设计构思及方案</w:t>
      </w:r>
      <w:r>
        <w:rPr>
          <w:rFonts w:hint="eastAsia" w:ascii="宋体" w:hAnsi="宋体" w:cs="宋体"/>
          <w:kern w:val="0"/>
          <w:sz w:val="21"/>
          <w:szCs w:val="21"/>
        </w:rPr>
        <w:t>）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DVmZGVkMzM5NGIyYzAzYzM1YzM3YzU3NDM0OTEifQ=="/>
  </w:docVars>
  <w:rsids>
    <w:rsidRoot w:val="742E14A9"/>
    <w:rsid w:val="742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2022-08-10T08:28:00Z</dcterms:created>
  <dc:creator>optiPlex 7070</dc:creator>
  <lastModifiedBy>optiPlex 7070</lastModifiedBy>
  <dcterms:modified xsi:type="dcterms:W3CDTF">2022-08-10T08:28:59Z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2E209B3C23614A009BD2564FE4C92582</vt:lpwstr>
  </property>
</Properties>
</file>