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bCs/>
                <w:sz w:val="21"/>
                <w:szCs w:val="21"/>
              </w:rPr>
              <w:t>▲履约保证金</w:t>
            </w:r>
          </w:p>
        </w:tc>
        <w:tc>
          <w:tcPr>
            <w:tcW w:w="7655" w:type="dxa"/>
            <w:vAlign w:val="center"/>
          </w:tcPr>
          <w:p>
            <w:pPr>
              <w:adjustRightInd w:val="0"/>
              <w:snapToGrid w:val="0"/>
              <w:spacing w:line="288" w:lineRule="auto"/>
              <w:rPr>
                <w:rFonts w:ascii="宋体" w:hAnsi="宋体"/>
                <w:sz w:val="21"/>
                <w:szCs w:val="21"/>
              </w:rPr>
            </w:pPr>
            <w:r>
              <w:rPr>
                <w:rFonts w:hint="eastAsia" w:ascii="宋体" w:hAnsi="宋体"/>
                <w:sz w:val="21"/>
                <w:szCs w:val="21"/>
              </w:rPr>
              <w:t>1.合同签订后一周内，成交供应商向采购人提交合同金额5%的履约保证金，履约保证金在项目完成并验收合格后，于一周内退还（不计息）；</w:t>
            </w:r>
          </w:p>
          <w:p>
            <w:pPr>
              <w:adjustRightInd w:val="0"/>
              <w:snapToGrid w:val="0"/>
              <w:spacing w:line="288" w:lineRule="auto"/>
              <w:rPr>
                <w:rFonts w:ascii="宋体" w:hAnsi="宋体"/>
                <w:spacing w:val="-6"/>
                <w:sz w:val="21"/>
                <w:szCs w:val="21"/>
              </w:rPr>
            </w:pPr>
            <w:r>
              <w:rPr>
                <w:rFonts w:hint="eastAsia" w:ascii="宋体" w:hAnsi="宋体"/>
                <w:sz w:val="21"/>
                <w:szCs w:val="21"/>
              </w:rPr>
              <w:t>2.提交方式：支票、汇票、本票或者金融机构、担保机构出具的保函等非现金形式。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ascii="宋体" w:hAnsi="宋体"/>
                <w:b/>
                <w:bCs/>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合同签订后一月内支付合同总额30%，</w:t>
            </w:r>
            <w:r>
              <w:rPr>
                <w:rFonts w:ascii="宋体" w:hAnsi="宋体"/>
                <w:spacing w:val="-6"/>
                <w:sz w:val="21"/>
                <w:szCs w:val="21"/>
              </w:rPr>
              <w:t>项目完成并</w:t>
            </w:r>
            <w:r>
              <w:rPr>
                <w:rFonts w:hint="eastAsia" w:ascii="宋体" w:hAnsi="宋体"/>
                <w:spacing w:val="-6"/>
                <w:sz w:val="21"/>
                <w:szCs w:val="21"/>
              </w:rPr>
              <w:t>验收合格后一个月内支付合同总额</w:t>
            </w:r>
            <w:r>
              <w:rPr>
                <w:rFonts w:ascii="宋体" w:hAnsi="宋体"/>
                <w:spacing w:val="-6"/>
                <w:sz w:val="21"/>
                <w:szCs w:val="21"/>
              </w:rPr>
              <w:t>70</w:t>
            </w:r>
            <w:r>
              <w:rPr>
                <w:rFonts w:hint="eastAsia" w:ascii="宋体" w:hAnsi="宋体"/>
                <w:spacing w:val="-6"/>
                <w:sz w:val="21"/>
                <w:szCs w:val="21"/>
              </w:rPr>
              <w:t>%。</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2"/>
        <w:gridCol w:w="7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w:t>
            </w:r>
            <w:r>
              <w:rPr>
                <w:rFonts w:ascii="宋体" w:hAnsi="宋体" w:cs="宋体"/>
                <w:sz w:val="21"/>
                <w:szCs w:val="21"/>
              </w:rPr>
              <w:t>60</w:t>
            </w:r>
            <w:r>
              <w:rPr>
                <w:rFonts w:hint="eastAsia" w:ascii="宋体" w:hAnsi="宋体" w:cs="宋体"/>
                <w:sz w:val="21"/>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.安装调试：（若需要安装调试）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采购标的对应的中小企业划分标准所属行业：其他未列明行业</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r>
        <w:rPr>
          <w:rFonts w:hint="eastAsia" w:ascii="宋体" w:hAnsi="宋体"/>
          <w:sz w:val="21"/>
          <w:szCs w:val="21"/>
        </w:rPr>
        <w:t>中小企业划型标准：</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从业人员300人以下的为中小微型企业。其中，从业人员100人及以上的为中型企业；从业人员10人及以上的为小型企业；从业人员10人以下的为微型企业。</w:t>
      </w:r>
    </w:p>
    <w:p>
      <w:pPr>
        <w:adjustRightInd w:val="0"/>
        <w:snapToGrid w:val="0"/>
        <w:spacing w:line="288" w:lineRule="auto"/>
        <w:rPr>
          <w:rFonts w:ascii="宋体" w:hAnsi="宋体"/>
          <w:b/>
          <w:bCs/>
          <w:sz w:val="21"/>
          <w:szCs w:val="21"/>
        </w:rPr>
      </w:pPr>
      <w:r>
        <w:rPr>
          <w:rFonts w:ascii="宋体" w:hAnsi="宋体"/>
          <w:b/>
          <w:bCs/>
          <w:sz w:val="21"/>
          <w:szCs w:val="21"/>
        </w:rPr>
        <w:t>1</w:t>
      </w:r>
      <w:r>
        <w:rPr>
          <w:rFonts w:hint="eastAsia" w:ascii="宋体" w:hAnsi="宋体"/>
          <w:b/>
          <w:bCs/>
          <w:sz w:val="21"/>
          <w:szCs w:val="21"/>
        </w:rPr>
        <w:t>.需执行的国家相关标准、行业标准、地方标准或者其他标准、规范：</w:t>
      </w:r>
      <w:r>
        <w:rPr>
          <w:rFonts w:hint="eastAsia" w:ascii="宋体" w:hAnsi="宋体" w:cs="宋体"/>
          <w:sz w:val="21"/>
          <w:szCs w:val="21"/>
        </w:rPr>
        <w:t>产品制造国有强制性标准的执行产品制造国强制性标准，无的统一执行我国最新相关标准、规范</w:t>
      </w:r>
      <w:r>
        <w:rPr>
          <w:rFonts w:hint="eastAsia" w:ascii="宋体" w:hAnsi="宋体"/>
          <w:sz w:val="21"/>
          <w:szCs w:val="21"/>
        </w:rPr>
        <w:t>；</w:t>
      </w:r>
      <w:r>
        <w:rPr>
          <w:rFonts w:hint="eastAsia" w:ascii="宋体" w:hAnsi="宋体" w:cs="宋体"/>
          <w:sz w:val="21"/>
          <w:szCs w:val="21"/>
        </w:rPr>
        <w:t>有强制性标准的执行国家强制性标准，无的统一执行最新相关标准、规范；</w:t>
      </w:r>
    </w:p>
    <w:p>
      <w:pPr>
        <w:adjustRightInd w:val="0"/>
        <w:snapToGrid w:val="0"/>
        <w:spacing w:line="288" w:lineRule="auto"/>
        <w:rPr>
          <w:rFonts w:ascii="宋体" w:hAnsi="宋体"/>
          <w:b/>
          <w:bCs/>
          <w:sz w:val="21"/>
          <w:szCs w:val="21"/>
        </w:rPr>
      </w:pPr>
      <w:r>
        <w:rPr>
          <w:rFonts w:ascii="宋体" w:hAnsi="宋体"/>
          <w:b/>
          <w:bCs/>
          <w:sz w:val="21"/>
          <w:szCs w:val="21"/>
        </w:rPr>
        <w:t>2.</w:t>
      </w:r>
      <w:r>
        <w:rPr>
          <w:rFonts w:hint="eastAsia" w:ascii="宋体" w:hAnsi="宋体"/>
          <w:b/>
          <w:bCs/>
          <w:sz w:val="21"/>
          <w:szCs w:val="21"/>
        </w:rPr>
        <w:t>需满足的质量、安全、技术规格、物理特性等要求：</w:t>
      </w:r>
    </w:p>
    <w:p>
      <w:pPr>
        <w:widowControl/>
        <w:adjustRightInd w:val="0"/>
        <w:snapToGrid w:val="0"/>
        <w:jc w:val="left"/>
        <w:rPr>
          <w:rFonts w:ascii="宋体" w:hAnsi="宋体"/>
          <w:sz w:val="21"/>
          <w:szCs w:val="21"/>
        </w:rPr>
      </w:pPr>
      <w:r>
        <w:rPr>
          <w:rFonts w:hint="eastAsia" w:ascii="宋体" w:hAnsi="宋体" w:cs="宋体"/>
          <w:b/>
          <w:kern w:val="0"/>
          <w:sz w:val="21"/>
          <w:szCs w:val="21"/>
          <w:lang w:bidi="ar"/>
        </w:rPr>
        <w:t xml:space="preserve">一、项目背景 </w:t>
      </w:r>
    </w:p>
    <w:p>
      <w:pPr>
        <w:widowControl/>
        <w:adjustRightInd w:val="0"/>
        <w:snapToGrid w:val="0"/>
        <w:ind w:firstLine="420" w:firstLineChars="200"/>
        <w:rPr>
          <w:rFonts w:ascii="宋体" w:hAnsi="宋体"/>
          <w:sz w:val="21"/>
          <w:szCs w:val="21"/>
        </w:rPr>
      </w:pPr>
      <w:r>
        <w:rPr>
          <w:rFonts w:hint="eastAsia" w:ascii="宋体" w:hAnsi="宋体" w:cs="宋体"/>
          <w:kern w:val="0"/>
          <w:sz w:val="21"/>
          <w:szCs w:val="21"/>
          <w:lang w:bidi="ar"/>
        </w:rPr>
        <w:t xml:space="preserve">为进一步加强学校品牌形象建设，规范学校标识体系，汇聚师生文化认同，有效提升视觉形象识别系统（VI）作为 “城院名片”的传播影响力，特公开采购浙大城市学院视觉形象识别系统（VI）设计服务。 </w:t>
      </w:r>
    </w:p>
    <w:p>
      <w:pPr>
        <w:widowControl/>
        <w:adjustRightInd w:val="0"/>
        <w:snapToGrid w:val="0"/>
        <w:jc w:val="left"/>
        <w:rPr>
          <w:rFonts w:ascii="宋体" w:hAnsi="宋体"/>
          <w:sz w:val="21"/>
          <w:szCs w:val="21"/>
        </w:rPr>
      </w:pPr>
      <w:r>
        <w:rPr>
          <w:rFonts w:hint="eastAsia" w:ascii="宋体" w:hAnsi="宋体" w:cs="宋体"/>
          <w:b/>
          <w:kern w:val="0"/>
          <w:sz w:val="21"/>
          <w:szCs w:val="21"/>
          <w:lang w:bidi="ar"/>
        </w:rPr>
        <w:t xml:space="preserve">二、设计总体原则 </w:t>
      </w:r>
    </w:p>
    <w:p>
      <w:pPr>
        <w:widowControl/>
        <w:adjustRightInd w:val="0"/>
        <w:snapToGrid w:val="0"/>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整体设计要立意高远、新颖简洁、辨识度高，融入世界标准、中国特色、城院风格，含有求是鹰和杭州元素，具有较强的文化底蕴及视觉冲击力、感染力，规范且易于传播。设计创意必须是原创且未在它处公开发表过的作品，不能抄袭他人作品。</w:t>
      </w:r>
    </w:p>
    <w:p>
      <w:pPr>
        <w:widowControl/>
        <w:adjustRightInd w:val="0"/>
        <w:snapToGrid w:val="0"/>
        <w:jc w:val="left"/>
        <w:rPr>
          <w:rFonts w:ascii="宋体" w:hAnsi="宋体"/>
          <w:sz w:val="21"/>
          <w:szCs w:val="21"/>
        </w:rPr>
      </w:pPr>
      <w:r>
        <w:rPr>
          <w:rFonts w:hint="eastAsia" w:ascii="宋体" w:hAnsi="宋体" w:cs="宋体"/>
          <w:b/>
          <w:kern w:val="0"/>
          <w:sz w:val="21"/>
          <w:szCs w:val="21"/>
          <w:lang w:bidi="ar"/>
        </w:rPr>
        <w:t xml:space="preserve">三、工作内容 </w:t>
      </w:r>
    </w:p>
    <w:p>
      <w:pPr>
        <w:widowControl/>
        <w:adjustRightInd w:val="0"/>
        <w:snapToGrid w:val="0"/>
        <w:jc w:val="left"/>
        <w:rPr>
          <w:rFonts w:ascii="宋体" w:hAnsi="宋体"/>
          <w:b/>
          <w:bCs/>
          <w:sz w:val="21"/>
          <w:szCs w:val="21"/>
        </w:rPr>
      </w:pPr>
      <w:r>
        <w:rPr>
          <w:rFonts w:hint="eastAsia" w:ascii="宋体" w:hAnsi="宋体" w:cs="宋体"/>
          <w:b/>
          <w:bCs/>
          <w:kern w:val="0"/>
          <w:sz w:val="21"/>
          <w:szCs w:val="21"/>
          <w:lang w:bidi="ar"/>
        </w:rPr>
        <w:t>1</w:t>
      </w:r>
      <w:r>
        <w:rPr>
          <w:rFonts w:ascii="宋体" w:hAnsi="宋体" w:cs="宋体"/>
          <w:b/>
          <w:bCs/>
          <w:kern w:val="0"/>
          <w:sz w:val="21"/>
          <w:szCs w:val="21"/>
          <w:lang w:bidi="ar"/>
        </w:rPr>
        <w:t>.</w:t>
      </w:r>
      <w:r>
        <w:rPr>
          <w:rFonts w:hint="eastAsia" w:ascii="宋体" w:hAnsi="宋体" w:cs="宋体"/>
          <w:b/>
          <w:bCs/>
          <w:kern w:val="0"/>
          <w:sz w:val="21"/>
          <w:szCs w:val="21"/>
          <w:lang w:bidi="ar"/>
        </w:rPr>
        <w:t xml:space="preserve">阐述设计理念和思路 </w:t>
      </w:r>
    </w:p>
    <w:p>
      <w:pPr>
        <w:widowControl/>
        <w:adjustRightInd w:val="0"/>
        <w:snapToGrid w:val="0"/>
        <w:ind w:firstLine="420" w:firstLineChars="200"/>
        <w:jc w:val="left"/>
        <w:rPr>
          <w:rFonts w:ascii="宋体" w:hAnsi="宋体"/>
          <w:sz w:val="21"/>
          <w:szCs w:val="21"/>
        </w:rPr>
      </w:pPr>
      <w:r>
        <w:rPr>
          <w:rFonts w:hint="eastAsia" w:ascii="宋体" w:hAnsi="宋体" w:cs="宋体"/>
          <w:kern w:val="0"/>
          <w:sz w:val="21"/>
          <w:szCs w:val="21"/>
          <w:lang w:bidi="ar"/>
        </w:rPr>
        <w:t xml:space="preserve">须包含全国百强大学品牌形象整体趋势分析和核心架构梳理 ，具体包括：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2260"/>
        <w:gridCol w:w="5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序号</w:t>
            </w:r>
          </w:p>
        </w:tc>
        <w:tc>
          <w:tcPr>
            <w:tcW w:w="132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内容</w:t>
            </w:r>
          </w:p>
        </w:tc>
        <w:tc>
          <w:tcPr>
            <w:tcW w:w="3310"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要求明细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Merge w:val="restar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w:t>
            </w:r>
          </w:p>
        </w:tc>
        <w:tc>
          <w:tcPr>
            <w:tcW w:w="1326" w:type="pct"/>
            <w:vMerge w:val="restar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品牌视觉架构梳理</w:t>
            </w:r>
          </w:p>
        </w:tc>
        <w:tc>
          <w:tcPr>
            <w:tcW w:w="3310"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校级及院校级呈现形式梳理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Merge w:val="continue"/>
            <w:vAlign w:val="center"/>
          </w:tcPr>
          <w:p>
            <w:pPr>
              <w:widowControl/>
              <w:adjustRightInd w:val="0"/>
              <w:snapToGrid w:val="0"/>
              <w:jc w:val="center"/>
              <w:rPr>
                <w:rFonts w:ascii="宋体" w:hAnsi="宋体" w:cs="宋体"/>
                <w:kern w:val="0"/>
                <w:sz w:val="21"/>
                <w:szCs w:val="21"/>
                <w:lang w:bidi="ar"/>
              </w:rPr>
            </w:pPr>
          </w:p>
        </w:tc>
        <w:tc>
          <w:tcPr>
            <w:tcW w:w="1326" w:type="pct"/>
            <w:vMerge w:val="continue"/>
            <w:vAlign w:val="center"/>
          </w:tcPr>
          <w:p>
            <w:pPr>
              <w:widowControl/>
              <w:adjustRightInd w:val="0"/>
              <w:snapToGrid w:val="0"/>
              <w:jc w:val="center"/>
              <w:rPr>
                <w:rFonts w:ascii="宋体" w:hAnsi="宋体" w:cs="宋体"/>
                <w:kern w:val="0"/>
                <w:sz w:val="21"/>
                <w:szCs w:val="21"/>
                <w:lang w:bidi="ar"/>
              </w:rPr>
            </w:pPr>
          </w:p>
        </w:tc>
        <w:tc>
          <w:tcPr>
            <w:tcW w:w="3310"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校级及院校级组合背书视觉关系梳理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2</w:t>
            </w:r>
          </w:p>
        </w:tc>
        <w:tc>
          <w:tcPr>
            <w:tcW w:w="132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同行业视觉表现分析</w:t>
            </w:r>
          </w:p>
        </w:tc>
        <w:tc>
          <w:tcPr>
            <w:tcW w:w="3310"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1.视觉整体趋势分析</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2.国内外标杆学校视觉分析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Merge w:val="restar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3</w:t>
            </w:r>
          </w:p>
        </w:tc>
        <w:tc>
          <w:tcPr>
            <w:tcW w:w="1326" w:type="pct"/>
            <w:vMerge w:val="restar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标志升级核心元素提炼</w:t>
            </w:r>
          </w:p>
        </w:tc>
        <w:tc>
          <w:tcPr>
            <w:tcW w:w="3310"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升级核心概念元素提炼，使其表现形式既有传承又不失创新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Merge w:val="continue"/>
            <w:vAlign w:val="center"/>
          </w:tcPr>
          <w:p>
            <w:pPr>
              <w:widowControl/>
              <w:adjustRightInd w:val="0"/>
              <w:snapToGrid w:val="0"/>
              <w:jc w:val="center"/>
              <w:rPr>
                <w:rFonts w:ascii="宋体" w:hAnsi="宋体" w:cs="宋体"/>
                <w:kern w:val="0"/>
                <w:sz w:val="21"/>
                <w:szCs w:val="21"/>
                <w:lang w:bidi="ar"/>
              </w:rPr>
            </w:pPr>
          </w:p>
        </w:tc>
        <w:tc>
          <w:tcPr>
            <w:tcW w:w="1326" w:type="pct"/>
            <w:vMerge w:val="continue"/>
            <w:vAlign w:val="center"/>
          </w:tcPr>
          <w:p>
            <w:pPr>
              <w:widowControl/>
              <w:adjustRightInd w:val="0"/>
              <w:snapToGrid w:val="0"/>
              <w:jc w:val="center"/>
              <w:rPr>
                <w:rFonts w:ascii="宋体" w:hAnsi="宋体" w:cs="宋体"/>
                <w:kern w:val="0"/>
                <w:sz w:val="21"/>
                <w:szCs w:val="21"/>
                <w:lang w:bidi="ar"/>
              </w:rPr>
            </w:pPr>
          </w:p>
        </w:tc>
        <w:tc>
          <w:tcPr>
            <w:tcW w:w="3310"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辅助图形元素提炼-辅助标志在各个品牌接触端口的落地运用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4" w:type="pct"/>
            <w:vMerge w:val="restar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4</w:t>
            </w:r>
          </w:p>
        </w:tc>
        <w:tc>
          <w:tcPr>
            <w:tcW w:w="1326" w:type="pct"/>
            <w:vMerge w:val="restar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品牌标志升级设计</w:t>
            </w:r>
          </w:p>
        </w:tc>
        <w:tc>
          <w:tcPr>
            <w:tcW w:w="3310"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标志升级设计-现有标志精细化化升级、字体色彩升级设计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Merge w:val="continue"/>
            <w:vAlign w:val="center"/>
          </w:tcPr>
          <w:p>
            <w:pPr>
              <w:widowControl/>
              <w:adjustRightInd w:val="0"/>
              <w:snapToGrid w:val="0"/>
              <w:jc w:val="center"/>
              <w:rPr>
                <w:rFonts w:ascii="宋体" w:hAnsi="宋体" w:cs="宋体"/>
                <w:kern w:val="0"/>
                <w:sz w:val="21"/>
                <w:szCs w:val="21"/>
                <w:lang w:bidi="ar"/>
              </w:rPr>
            </w:pPr>
          </w:p>
        </w:tc>
        <w:tc>
          <w:tcPr>
            <w:tcW w:w="1326" w:type="pct"/>
            <w:vMerge w:val="continue"/>
            <w:vAlign w:val="center"/>
          </w:tcPr>
          <w:p>
            <w:pPr>
              <w:widowControl/>
              <w:adjustRightInd w:val="0"/>
              <w:snapToGrid w:val="0"/>
              <w:jc w:val="left"/>
              <w:rPr>
                <w:rFonts w:ascii="宋体" w:hAnsi="宋体" w:cs="宋体"/>
                <w:kern w:val="0"/>
                <w:sz w:val="21"/>
                <w:szCs w:val="21"/>
                <w:lang w:bidi="ar"/>
              </w:rPr>
            </w:pPr>
          </w:p>
        </w:tc>
        <w:tc>
          <w:tcPr>
            <w:tcW w:w="3310"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辅助图形设计-辅助 LOGO 落地使用</w:t>
            </w:r>
          </w:p>
        </w:tc>
      </w:tr>
    </w:tbl>
    <w:p>
      <w:pPr>
        <w:adjustRightInd w:val="0"/>
        <w:snapToGrid w:val="0"/>
        <w:rPr>
          <w:rFonts w:ascii="宋体" w:hAnsi="宋体"/>
          <w:sz w:val="21"/>
          <w:szCs w:val="21"/>
        </w:rPr>
      </w:pPr>
    </w:p>
    <w:p>
      <w:pPr>
        <w:widowControl/>
        <w:adjustRightInd w:val="0"/>
        <w:snapToGrid w:val="0"/>
        <w:jc w:val="left"/>
        <w:rPr>
          <w:rFonts w:ascii="宋体" w:hAnsi="宋体" w:cs="宋体"/>
          <w:kern w:val="0"/>
          <w:sz w:val="21"/>
          <w:szCs w:val="21"/>
          <w:lang w:bidi="ar"/>
        </w:rPr>
      </w:pPr>
      <w:r>
        <w:rPr>
          <w:rFonts w:ascii="宋体" w:hAnsi="宋体" w:cs="宋体"/>
          <w:b/>
          <w:kern w:val="0"/>
          <w:sz w:val="21"/>
          <w:szCs w:val="21"/>
          <w:lang w:bidi="ar"/>
        </w:rPr>
        <w:t>2.</w:t>
      </w:r>
      <w:r>
        <w:rPr>
          <w:rFonts w:hint="eastAsia" w:ascii="宋体" w:hAnsi="宋体" w:cs="宋体"/>
          <w:b/>
          <w:kern w:val="0"/>
          <w:sz w:val="21"/>
          <w:szCs w:val="21"/>
          <w:lang w:bidi="ar"/>
        </w:rPr>
        <w:t>设计相关</w:t>
      </w:r>
      <w:r>
        <w:rPr>
          <w:rFonts w:hint="eastAsia" w:ascii="宋体" w:hAnsi="宋体" w:cs="宋体"/>
          <w:kern w:val="0"/>
          <w:sz w:val="21"/>
          <w:szCs w:val="21"/>
          <w:lang w:bidi="ar"/>
        </w:rPr>
        <w:t>（包含但不限于以下表中内容、具体体系构成供应商可自行梳理）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360"/>
        <w:gridCol w:w="5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序号</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内容</w:t>
            </w:r>
          </w:p>
        </w:tc>
        <w:tc>
          <w:tcPr>
            <w:tcW w:w="3253"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w:t>
            </w:r>
          </w:p>
        </w:tc>
        <w:tc>
          <w:tcPr>
            <w:tcW w:w="4649" w:type="pct"/>
            <w:gridSpan w:val="2"/>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基础系统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1.1</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标志图形设计及创意说明（含主logo）</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标准彩色标志、标志释义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标志使用不可入侵范围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标志的最小使用规范（印刷和像素）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标志的安全空间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1.2</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中英文专用字体</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专用中、英文办公字体（用途与分类）</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专用中、英文印刷字体（用途与分类）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1.3</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标准色彩</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标准色规范（含色阶）</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特殊工艺</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辅助色系列</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标准色及辅助色使用规范</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标准色、辅助色色阶</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色彩搭配专用表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1.4</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标志与中英文组合</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标志标准中英文全称首选使用规范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标志标准中英文全称组合首选使用规范不可侵入范围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标志标准中英文全称可选使用规范（横排）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标志标准中英文全称组合可选使用规范（横排）不可侵入范围</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标志标准中英文全称可选使用规范（竖排）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标志标准中英文全称组合可选使用规范（竖排）不可侵入范围</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标志标准中英文简称首选使用规范</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标志标准中英文简称首选使用规范不可侵入范围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标志标准中英文简称可选使用规范（横排）</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标志标准中英文简称可选使用规范（横排）不可侵入范围</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标志标准中英文简称可选使用规范（竖排）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标志标准中英文简称可选使用规范（横排）不可侵入范围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1.5</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标志正负形置式</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（供应商自行拟定）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1.6</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标志尺度与制图</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标志制图及视觉修正、标志墨稿反白稿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标志标准制作网格图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标志标准制作规范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1.7</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标志中英文字制图</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（供应商自行拟定）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1.8</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中英文印刷指定字体</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印刷用中文专用字体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印刷用英文专用字体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1.9</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禁用组合</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标志的错误应用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品牌标识的错误应用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误图形排列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错误字体排列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错误色彩排列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网页视频上要素禁止组合规定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应用使用范围的禁止区域规定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1.10</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标准色与辅助色</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辅助色彩规范（含色阶）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1.11</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不同底色的使用规范</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（供应商自行拟定）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1.12</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象征图案及组合形式</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标志与辅助图形组合反白效果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1.13</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辅助图形的规范及搭配</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辅助图形释义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辅助图形基本使用形式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辅助图片标准制作网格图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辅助图形使用规范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辅助图形的应用延展</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辅助底纹制作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辅助底纹应用延展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1.14</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吉祥物及卡通形象</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（供应商自行拟定）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ascii="宋体" w:hAnsi="宋体" w:cs="宋体"/>
                <w:kern w:val="0"/>
                <w:sz w:val="21"/>
                <w:szCs w:val="21"/>
                <w:lang w:bidi="ar"/>
              </w:rPr>
              <w:t>1.15</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其他未列明项目</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（供应商自行拟定）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2</w:t>
            </w:r>
          </w:p>
        </w:tc>
        <w:tc>
          <w:tcPr>
            <w:tcW w:w="4649" w:type="pct"/>
            <w:gridSpan w:val="2"/>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2</w:t>
            </w:r>
            <w:r>
              <w:rPr>
                <w:rFonts w:ascii="宋体" w:hAnsi="宋体" w:cs="宋体"/>
                <w:kern w:val="0"/>
                <w:sz w:val="21"/>
                <w:szCs w:val="21"/>
                <w:lang w:bidi="ar"/>
              </w:rPr>
              <w:t>.1</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校园导视系统</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户外环境识别指示、室内环境识别指示、道路指示牌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2.</w:t>
            </w:r>
            <w:r>
              <w:rPr>
                <w:rFonts w:ascii="宋体" w:hAnsi="宋体" w:cs="宋体"/>
                <w:kern w:val="0"/>
                <w:sz w:val="21"/>
                <w:szCs w:val="21"/>
                <w:lang w:bidi="ar"/>
              </w:rPr>
              <w:t>2</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行政办公系统</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 xml:space="preserve">名片（中式、西式）、笔记本、公文纸、信纸、便签纸、传真用纸、信封（中式、西式、大、小）、信纸（空白、横纹、方格等）、资料袋（大、中、小）、文件夹、资料夹、合同书、工作证、学生证 </w:t>
            </w:r>
          </w:p>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一卡通、各式表格格式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2.</w:t>
            </w:r>
            <w:r>
              <w:rPr>
                <w:rFonts w:ascii="宋体" w:hAnsi="宋体" w:cs="宋体"/>
                <w:kern w:val="0"/>
                <w:sz w:val="21"/>
                <w:szCs w:val="21"/>
                <w:lang w:bidi="ar"/>
              </w:rPr>
              <w:t>3</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会务系统</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企划书、桌牌、邀请函、手提袋（大、中、小）、PPT 模板（不少于 5 套）、主席台背景板、纸杯、杯垫、办公笔、铅笔、校历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2.</w:t>
            </w:r>
            <w:r>
              <w:rPr>
                <w:rFonts w:ascii="宋体" w:hAnsi="宋体" w:cs="宋体"/>
                <w:kern w:val="0"/>
                <w:sz w:val="21"/>
                <w:szCs w:val="21"/>
                <w:lang w:bidi="ar"/>
              </w:rPr>
              <w:t>4</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线上媒介系统</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网站、新媒体传播平台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2.</w:t>
            </w:r>
            <w:r>
              <w:rPr>
                <w:rFonts w:ascii="宋体" w:hAnsi="宋体" w:cs="宋体"/>
                <w:kern w:val="0"/>
                <w:sz w:val="21"/>
                <w:szCs w:val="21"/>
                <w:lang w:bidi="ar"/>
              </w:rPr>
              <w:t>5</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校园宣传系统</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道旗、醒示装饰带、交通指示牌、户外宣传栏、室内宣传栏规范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2.</w:t>
            </w:r>
            <w:r>
              <w:rPr>
                <w:rFonts w:ascii="宋体" w:hAnsi="宋体" w:cs="宋体"/>
                <w:kern w:val="0"/>
                <w:sz w:val="21"/>
                <w:szCs w:val="21"/>
                <w:lang w:bidi="ar"/>
              </w:rPr>
              <w:t>6</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交通系统</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旗帜（横式、直式、吊旗、桌旗、锦旗等）、标志铭牌、车辆识别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2.</w:t>
            </w:r>
            <w:r>
              <w:rPr>
                <w:rFonts w:ascii="宋体" w:hAnsi="宋体" w:cs="宋体"/>
                <w:kern w:val="0"/>
                <w:sz w:val="21"/>
                <w:szCs w:val="21"/>
                <w:lang w:bidi="ar"/>
              </w:rPr>
              <w:t>7</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服装系统</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专用 T 恤规范、男女职员制服、男女校卫职员制服、男女服务人员制服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2.</w:t>
            </w:r>
            <w:r>
              <w:rPr>
                <w:rFonts w:ascii="宋体" w:hAnsi="宋体" w:cs="宋体"/>
                <w:kern w:val="0"/>
                <w:sz w:val="21"/>
                <w:szCs w:val="21"/>
                <w:lang w:bidi="ar"/>
              </w:rPr>
              <w:t>8</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文创产品及周边</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纪念品、书籍装帧、微信表情包、电子贺卡等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2</w:t>
            </w:r>
            <w:r>
              <w:rPr>
                <w:rFonts w:ascii="宋体" w:hAnsi="宋体" w:cs="宋体"/>
                <w:kern w:val="0"/>
                <w:sz w:val="21"/>
                <w:szCs w:val="21"/>
                <w:lang w:bidi="ar"/>
              </w:rPr>
              <w:t>.9</w:t>
            </w:r>
          </w:p>
        </w:tc>
        <w:tc>
          <w:tcPr>
            <w:tcW w:w="1396" w:type="pct"/>
            <w:vAlign w:val="center"/>
          </w:tcPr>
          <w:p>
            <w:pPr>
              <w:widowControl/>
              <w:adjustRightInd w:val="0"/>
              <w:snapToGrid w:val="0"/>
              <w:jc w:val="center"/>
              <w:rPr>
                <w:rFonts w:ascii="宋体" w:hAnsi="宋体" w:cs="宋体"/>
                <w:kern w:val="0"/>
                <w:sz w:val="21"/>
                <w:szCs w:val="21"/>
                <w:lang w:bidi="ar"/>
              </w:rPr>
            </w:pPr>
            <w:r>
              <w:rPr>
                <w:rFonts w:hint="eastAsia" w:ascii="宋体" w:hAnsi="宋体" w:cs="宋体"/>
                <w:kern w:val="0"/>
                <w:sz w:val="21"/>
                <w:szCs w:val="21"/>
                <w:lang w:bidi="ar"/>
              </w:rPr>
              <w:t>其他未列明项目</w:t>
            </w:r>
          </w:p>
        </w:tc>
        <w:tc>
          <w:tcPr>
            <w:tcW w:w="3253" w:type="pct"/>
            <w:vAlign w:val="center"/>
          </w:tcPr>
          <w:p>
            <w:pPr>
              <w:widowControl/>
              <w:adjustRightInd w:val="0"/>
              <w:snapToGrid w:val="0"/>
              <w:jc w:val="left"/>
              <w:rPr>
                <w:rFonts w:ascii="宋体" w:hAnsi="宋体" w:cs="宋体"/>
                <w:kern w:val="0"/>
                <w:sz w:val="21"/>
                <w:szCs w:val="21"/>
                <w:lang w:bidi="ar"/>
              </w:rPr>
            </w:pPr>
            <w:r>
              <w:rPr>
                <w:rFonts w:hint="eastAsia" w:ascii="宋体" w:hAnsi="宋体" w:cs="宋体"/>
                <w:kern w:val="0"/>
                <w:sz w:val="21"/>
                <w:szCs w:val="21"/>
                <w:lang w:bidi="ar"/>
              </w:rPr>
              <w:t>（供应商自行拟定）</w:t>
            </w:r>
          </w:p>
        </w:tc>
      </w:tr>
    </w:tbl>
    <w:p>
      <w:pPr>
        <w:widowControl/>
        <w:adjustRightInd w:val="0"/>
        <w:snapToGrid w:val="0"/>
        <w:rPr>
          <w:rFonts w:ascii="宋体" w:hAnsi="宋体" w:cs="宋体"/>
          <w:kern w:val="0"/>
          <w:sz w:val="21"/>
          <w:szCs w:val="21"/>
          <w:lang w:bidi="ar"/>
        </w:rPr>
      </w:pPr>
    </w:p>
    <w:p>
      <w:pPr>
        <w:adjustRightInd w:val="0"/>
        <w:snapToGrid w:val="0"/>
        <w:spacing w:line="288" w:lineRule="auto"/>
        <w:rPr>
          <w:rFonts w:ascii="宋体" w:hAnsi="宋体"/>
          <w:b/>
          <w:bCs/>
          <w:sz w:val="21"/>
          <w:szCs w:val="21"/>
        </w:rPr>
      </w:pPr>
      <w:r>
        <w:rPr>
          <w:rFonts w:ascii="宋体" w:hAnsi="宋体"/>
          <w:b/>
          <w:bCs/>
          <w:sz w:val="21"/>
          <w:szCs w:val="21"/>
        </w:rPr>
        <w:t>四</w:t>
      </w:r>
      <w:r>
        <w:rPr>
          <w:rFonts w:hint="eastAsia" w:ascii="宋体" w:hAnsi="宋体"/>
          <w:b/>
          <w:bCs/>
          <w:sz w:val="21"/>
          <w:szCs w:val="21"/>
        </w:rPr>
        <w:t>、</w:t>
      </w:r>
      <w:r>
        <w:rPr>
          <w:rFonts w:hint="eastAsia" w:ascii="宋体" w:hAnsi="宋体" w:cs="宋体"/>
          <w:b/>
          <w:bCs/>
          <w:kern w:val="0"/>
          <w:sz w:val="21"/>
          <w:szCs w:val="21"/>
          <w:lang w:bidi="ar"/>
        </w:rPr>
        <w:t>效果图演示</w:t>
      </w:r>
    </w:p>
    <w:p>
      <w:pPr>
        <w:adjustRightInd w:val="0"/>
        <w:snapToGrid w:val="0"/>
        <w:spacing w:line="288" w:lineRule="auto"/>
        <w:rPr>
          <w:rFonts w:ascii="宋体" w:hAnsi="宋体"/>
          <w:bCs/>
          <w:sz w:val="21"/>
          <w:szCs w:val="21"/>
        </w:rPr>
      </w:pPr>
      <w:r>
        <w:rPr>
          <w:rFonts w:hint="eastAsia" w:ascii="宋体" w:hAnsi="宋体"/>
          <w:bCs/>
          <w:sz w:val="21"/>
          <w:szCs w:val="21"/>
        </w:rPr>
        <w:t>1．表格中所有“基础系统”内容均需提供设计方案效果图，要求彩打单独装订成册，与商务技术文件一同密封提交。</w:t>
      </w:r>
    </w:p>
    <w:p>
      <w:pPr>
        <w:adjustRightInd w:val="0"/>
        <w:snapToGrid w:val="0"/>
        <w:spacing w:line="288" w:lineRule="auto"/>
        <w:rPr>
          <w:rFonts w:ascii="宋体" w:hAnsi="宋体"/>
          <w:bCs/>
          <w:sz w:val="21"/>
          <w:szCs w:val="21"/>
        </w:rPr>
      </w:pPr>
      <w:r>
        <w:rPr>
          <w:rFonts w:hint="eastAsia" w:ascii="宋体" w:hAnsi="宋体"/>
          <w:bCs/>
          <w:sz w:val="21"/>
          <w:szCs w:val="21"/>
        </w:rPr>
        <w:t>2．投标人须提供表格中所有“基础系统”设计方案效果图以及提供实物样品部分“应用系统”设计方案效果图电子文件演示，演示的形式为PDF文档格式，以U盘的形式，与商务技术文件一同密封提交。</w:t>
      </w:r>
    </w:p>
    <w:p>
      <w:pPr>
        <w:adjustRightInd w:val="0"/>
        <w:snapToGrid w:val="0"/>
        <w:spacing w:line="288" w:lineRule="auto"/>
        <w:rPr>
          <w:rFonts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 xml:space="preserve"> 未提供纸质版</w:t>
      </w:r>
      <w:r>
        <w:rPr>
          <w:rFonts w:hint="eastAsia" w:ascii="宋体" w:hAnsi="宋体" w:cs="宋体"/>
          <w:kern w:val="0"/>
          <w:sz w:val="21"/>
          <w:szCs w:val="21"/>
          <w:lang w:bidi="ar"/>
        </w:rPr>
        <w:t>和</w:t>
      </w:r>
      <w:r>
        <w:rPr>
          <w:rFonts w:hint="eastAsia" w:ascii="宋体" w:hAnsi="宋体"/>
          <w:bCs/>
          <w:sz w:val="21"/>
          <w:szCs w:val="21"/>
        </w:rPr>
        <w:t>电子稿的设计方案效果图，</w:t>
      </w:r>
      <w:r>
        <w:rPr>
          <w:rFonts w:hint="eastAsia" w:ascii="宋体" w:hAnsi="宋体" w:cs="宋体"/>
          <w:kern w:val="0"/>
          <w:sz w:val="21"/>
          <w:szCs w:val="21"/>
          <w:lang w:bidi="ar"/>
        </w:rPr>
        <w:t>效果图演示</w:t>
      </w:r>
      <w:r>
        <w:rPr>
          <w:rFonts w:hint="eastAsia" w:ascii="宋体" w:hAnsi="宋体"/>
          <w:bCs/>
          <w:sz w:val="21"/>
          <w:szCs w:val="21"/>
        </w:rPr>
        <w:t>为0分。</w:t>
      </w:r>
    </w:p>
    <w:p>
      <w:pPr>
        <w:adjustRightInd w:val="0"/>
        <w:snapToGrid w:val="0"/>
        <w:spacing w:line="288" w:lineRule="auto"/>
        <w:rPr>
          <w:rFonts w:ascii="宋体" w:hAnsi="宋体"/>
          <w:bCs/>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五、样品</w:t>
      </w:r>
    </w:p>
    <w:p>
      <w:pPr>
        <w:widowControl/>
        <w:adjustRightInd w:val="0"/>
        <w:snapToGrid w:val="0"/>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供应商可随响应文件一并提供以下VI设计方案的实物样板（样品）一套，样品的具体规格尺寸由供应商自行设计拟定，样品的品质将作为评审因素。未提供样品的或样品提供不全的，样品分为0分。</w:t>
      </w:r>
      <w:r>
        <w:rPr>
          <w:rFonts w:ascii="宋体" w:hAnsi="宋体" w:cs="宋体"/>
          <w:kern w:val="0"/>
          <w:sz w:val="21"/>
          <w:szCs w:val="21"/>
          <w:lang w:bidi="ar"/>
        </w:rPr>
        <w:t xml:space="preserve"> </w:t>
      </w:r>
    </w:p>
    <w:p>
      <w:pPr>
        <w:widowControl/>
        <w:adjustRightInd w:val="0"/>
        <w:snapToGrid w:val="0"/>
        <w:ind w:firstLine="210" w:firstLineChars="100"/>
        <w:jc w:val="left"/>
        <w:rPr>
          <w:rFonts w:ascii="宋体" w:hAnsi="宋体" w:cs="宋体"/>
          <w:kern w:val="0"/>
          <w:sz w:val="21"/>
          <w:szCs w:val="21"/>
          <w:lang w:bidi="ar"/>
        </w:rPr>
      </w:pPr>
      <w:r>
        <w:rPr>
          <w:rFonts w:hint="eastAsia" w:ascii="宋体" w:hAnsi="宋体" w:cs="宋体"/>
          <w:kern w:val="0"/>
          <w:sz w:val="21"/>
          <w:szCs w:val="21"/>
          <w:lang w:bidi="ar"/>
        </w:rPr>
        <w:t xml:space="preserve">1．名片（中式、西） </w:t>
      </w:r>
    </w:p>
    <w:p>
      <w:pPr>
        <w:widowControl/>
        <w:adjustRightInd w:val="0"/>
        <w:snapToGrid w:val="0"/>
        <w:ind w:firstLine="210" w:firstLineChars="100"/>
        <w:jc w:val="left"/>
        <w:rPr>
          <w:rFonts w:ascii="宋体" w:hAnsi="宋体" w:cs="宋体"/>
          <w:kern w:val="0"/>
          <w:sz w:val="21"/>
          <w:szCs w:val="21"/>
          <w:lang w:bidi="ar"/>
        </w:rPr>
      </w:pPr>
      <w:r>
        <w:rPr>
          <w:rFonts w:hint="eastAsia" w:ascii="宋体" w:hAnsi="宋体" w:cs="宋体"/>
          <w:kern w:val="0"/>
          <w:sz w:val="21"/>
          <w:szCs w:val="21"/>
          <w:lang w:bidi="ar"/>
        </w:rPr>
        <w:t>2．信封</w:t>
      </w:r>
    </w:p>
    <w:p>
      <w:pPr>
        <w:widowControl/>
        <w:adjustRightInd w:val="0"/>
        <w:snapToGrid w:val="0"/>
        <w:ind w:firstLine="210" w:firstLineChars="100"/>
        <w:jc w:val="left"/>
        <w:rPr>
          <w:rFonts w:ascii="宋体" w:hAnsi="宋体" w:cs="宋体"/>
          <w:kern w:val="0"/>
          <w:sz w:val="21"/>
          <w:szCs w:val="21"/>
          <w:lang w:bidi="ar"/>
        </w:rPr>
      </w:pPr>
      <w:r>
        <w:rPr>
          <w:rFonts w:hint="eastAsia" w:ascii="宋体" w:hAnsi="宋体" w:cs="宋体"/>
          <w:kern w:val="0"/>
          <w:sz w:val="21"/>
          <w:szCs w:val="21"/>
          <w:lang w:bidi="ar"/>
        </w:rPr>
        <w:t>3．资料袋</w:t>
      </w:r>
    </w:p>
    <w:p>
      <w:pPr>
        <w:widowControl/>
        <w:adjustRightInd w:val="0"/>
        <w:snapToGrid w:val="0"/>
        <w:ind w:firstLine="210" w:firstLineChars="100"/>
        <w:jc w:val="left"/>
        <w:rPr>
          <w:rFonts w:ascii="宋体" w:hAnsi="宋体" w:cs="宋体"/>
          <w:kern w:val="0"/>
          <w:sz w:val="21"/>
          <w:szCs w:val="21"/>
          <w:lang w:bidi="ar"/>
        </w:rPr>
      </w:pPr>
      <w:r>
        <w:rPr>
          <w:rFonts w:hint="eastAsia" w:ascii="宋体" w:hAnsi="宋体" w:cs="宋体"/>
          <w:kern w:val="0"/>
          <w:sz w:val="21"/>
          <w:szCs w:val="21"/>
          <w:lang w:bidi="ar"/>
        </w:rPr>
        <w:t>4．一卡通</w:t>
      </w:r>
    </w:p>
    <w:p>
      <w:pPr>
        <w:widowControl/>
        <w:adjustRightInd w:val="0"/>
        <w:snapToGrid w:val="0"/>
        <w:ind w:firstLine="210" w:firstLineChars="100"/>
        <w:jc w:val="left"/>
        <w:rPr>
          <w:rFonts w:ascii="宋体" w:hAnsi="宋体" w:cs="宋体"/>
          <w:kern w:val="0"/>
          <w:sz w:val="21"/>
          <w:szCs w:val="21"/>
          <w:lang w:bidi="ar"/>
        </w:rPr>
      </w:pPr>
      <w:r>
        <w:rPr>
          <w:rFonts w:ascii="宋体" w:hAnsi="宋体" w:cs="宋体"/>
          <w:kern w:val="0"/>
          <w:sz w:val="21"/>
          <w:szCs w:val="21"/>
          <w:lang w:bidi="ar"/>
        </w:rPr>
        <w:t>5</w:t>
      </w:r>
      <w:r>
        <w:rPr>
          <w:rFonts w:hint="eastAsia" w:ascii="宋体" w:hAnsi="宋体" w:cs="宋体"/>
          <w:kern w:val="0"/>
          <w:sz w:val="21"/>
          <w:szCs w:val="21"/>
          <w:lang w:bidi="ar"/>
        </w:rPr>
        <w:t>．PPT 模板（提供一套，彩色打印）</w:t>
      </w:r>
    </w:p>
    <w:p>
      <w:pPr>
        <w:widowControl/>
        <w:adjustRightInd w:val="0"/>
        <w:snapToGrid w:val="0"/>
        <w:ind w:firstLine="210" w:firstLineChars="100"/>
        <w:jc w:val="left"/>
        <w:rPr>
          <w:rFonts w:ascii="宋体" w:hAnsi="宋体" w:cs="宋体"/>
          <w:kern w:val="0"/>
          <w:sz w:val="21"/>
          <w:szCs w:val="21"/>
          <w:lang w:bidi="ar"/>
        </w:rPr>
      </w:pPr>
      <w:r>
        <w:rPr>
          <w:rFonts w:ascii="宋体" w:hAnsi="宋体" w:cs="宋体"/>
          <w:kern w:val="0"/>
          <w:sz w:val="21"/>
          <w:szCs w:val="21"/>
          <w:lang w:bidi="ar"/>
        </w:rPr>
        <w:t>6</w:t>
      </w:r>
      <w:r>
        <w:rPr>
          <w:rFonts w:hint="eastAsia" w:ascii="宋体" w:hAnsi="宋体" w:cs="宋体"/>
          <w:kern w:val="0"/>
          <w:sz w:val="21"/>
          <w:szCs w:val="21"/>
          <w:lang w:bidi="ar"/>
        </w:rPr>
        <w:t>．纪念品（供应商自主设计 2款学校主题纪念品）</w:t>
      </w:r>
    </w:p>
    <w:p>
      <w:pPr>
        <w:rPr>
          <w:rFonts w:ascii="宋体" w:hAnsi="宋体"/>
          <w:b/>
          <w:bCs/>
          <w:sz w:val="21"/>
          <w:szCs w:val="21"/>
        </w:rPr>
      </w:pPr>
    </w:p>
    <w:p>
      <w:pPr>
        <w:rPr>
          <w:rFonts w:ascii="宋体" w:hAnsi="宋体"/>
          <w:b/>
          <w:bCs/>
          <w:sz w:val="21"/>
          <w:szCs w:val="21"/>
        </w:rPr>
      </w:pPr>
      <w:r>
        <w:rPr>
          <w:rFonts w:hint="eastAsia" w:ascii="宋体" w:hAnsi="宋体"/>
          <w:b/>
          <w:bCs/>
          <w:sz w:val="21"/>
          <w:szCs w:val="21"/>
        </w:rPr>
        <w:t>六、项目进度安排</w:t>
      </w:r>
    </w:p>
    <w:p>
      <w:pPr>
        <w:ind w:firstLine="422" w:firstLineChars="200"/>
        <w:rPr>
          <w:rFonts w:ascii="宋体" w:hAnsi="宋体"/>
          <w:b/>
          <w:bCs/>
          <w:sz w:val="21"/>
          <w:szCs w:val="21"/>
        </w:rPr>
      </w:pPr>
      <w:r>
        <w:rPr>
          <w:rFonts w:hint="eastAsia" w:ascii="宋体" w:hAnsi="宋体"/>
          <w:b/>
          <w:bCs/>
          <w:sz w:val="21"/>
          <w:szCs w:val="21"/>
        </w:rPr>
        <w:t>1．项目调研</w:t>
      </w:r>
    </w:p>
    <w:p>
      <w:pPr>
        <w:ind w:firstLine="420" w:firstLineChars="200"/>
        <w:rPr>
          <w:rFonts w:ascii="宋体" w:hAnsi="宋体"/>
          <w:bCs/>
          <w:sz w:val="21"/>
          <w:szCs w:val="21"/>
        </w:rPr>
      </w:pPr>
      <w:r>
        <w:rPr>
          <w:rFonts w:hint="eastAsia" w:ascii="宋体" w:hAnsi="宋体"/>
          <w:bCs/>
          <w:sz w:val="21"/>
          <w:szCs w:val="21"/>
        </w:rPr>
        <w:t>成交供应商通过收集文字资料，召开座谈会、现场调研等方式开展项目调研和论证工作，深入了解浙大城市学院历史、现状和未来，挖掘提炼浙大城市学院特色和亮点。根据调研和论证情况，调整完善项目创意和实施方案。</w:t>
      </w:r>
    </w:p>
    <w:p>
      <w:pPr>
        <w:ind w:firstLine="422" w:firstLineChars="200"/>
        <w:rPr>
          <w:rFonts w:ascii="宋体" w:hAnsi="宋体"/>
          <w:b/>
          <w:bCs/>
          <w:sz w:val="21"/>
          <w:szCs w:val="21"/>
        </w:rPr>
      </w:pPr>
      <w:r>
        <w:rPr>
          <w:rFonts w:hint="eastAsia" w:ascii="宋体" w:hAnsi="宋体"/>
          <w:b/>
          <w:bCs/>
          <w:sz w:val="21"/>
          <w:szCs w:val="21"/>
        </w:rPr>
        <w:t>2．设计制作</w:t>
      </w:r>
    </w:p>
    <w:p>
      <w:pPr>
        <w:ind w:firstLine="420" w:firstLineChars="200"/>
        <w:rPr>
          <w:rFonts w:ascii="宋体" w:hAnsi="宋体"/>
          <w:bCs/>
          <w:sz w:val="21"/>
          <w:szCs w:val="21"/>
        </w:rPr>
      </w:pPr>
      <w:r>
        <w:rPr>
          <w:rFonts w:hint="eastAsia" w:ascii="宋体" w:hAnsi="宋体"/>
          <w:bCs/>
          <w:sz w:val="21"/>
          <w:szCs w:val="21"/>
        </w:rPr>
        <w:t>成交供应商根据设计方案、采购文件要求和采购人意见，按照项目时间进度表，结合项目调研、项目征集的内容，设计创作浙大城市学院视觉识别系统作品。在作品创作过程中，采购人与成交供应商工作团队保持密切沟通和交流，及时督促和帮助设计团队完善设计制作思路。成交供应商需提供总数不少于3套视觉识别系统作品。</w:t>
      </w:r>
    </w:p>
    <w:p>
      <w:pPr>
        <w:ind w:firstLine="422" w:firstLineChars="200"/>
        <w:rPr>
          <w:rFonts w:ascii="宋体" w:hAnsi="宋体"/>
          <w:b/>
          <w:bCs/>
          <w:sz w:val="21"/>
          <w:szCs w:val="21"/>
        </w:rPr>
      </w:pPr>
      <w:r>
        <w:rPr>
          <w:rFonts w:hint="eastAsia" w:ascii="宋体" w:hAnsi="宋体"/>
          <w:b/>
          <w:bCs/>
          <w:sz w:val="21"/>
          <w:szCs w:val="21"/>
        </w:rPr>
        <w:t>3．修改完善</w:t>
      </w:r>
    </w:p>
    <w:p>
      <w:pPr>
        <w:ind w:firstLine="420" w:firstLineChars="200"/>
        <w:rPr>
          <w:rFonts w:ascii="宋体" w:hAnsi="宋体"/>
          <w:bCs/>
          <w:sz w:val="21"/>
          <w:szCs w:val="21"/>
        </w:rPr>
      </w:pPr>
      <w:r>
        <w:rPr>
          <w:rFonts w:hint="eastAsia" w:ascii="宋体" w:hAnsi="宋体"/>
          <w:bCs/>
          <w:sz w:val="21"/>
          <w:szCs w:val="21"/>
        </w:rPr>
        <w:t>采购人召集评审会议（成员包括相关领导、学校学生代表、教师代表等）讨论初选作品（含成交供应商设计的初选作品和社会征集入选作品），采购人汇总评审意见，提出各项作品的具体修改意见。成交供应商按照采购人要求进行修改完善，直至作品通过采购人审核验收。</w:t>
      </w:r>
    </w:p>
    <w:p>
      <w:pPr>
        <w:rPr>
          <w:rFonts w:ascii="宋体" w:hAnsi="宋体"/>
          <w:b/>
          <w:bCs/>
          <w:sz w:val="21"/>
          <w:szCs w:val="21"/>
        </w:rPr>
      </w:pPr>
      <w:r>
        <w:rPr>
          <w:rFonts w:hint="eastAsia" w:ascii="宋体" w:hAnsi="宋体"/>
          <w:b/>
          <w:bCs/>
          <w:sz w:val="21"/>
          <w:szCs w:val="21"/>
        </w:rPr>
        <w:t>六、供应商还需要提供的材料</w:t>
      </w:r>
    </w:p>
    <w:p>
      <w:pPr>
        <w:ind w:firstLine="420" w:firstLineChars="200"/>
        <w:rPr>
          <w:rFonts w:ascii="宋体" w:hAnsi="宋体"/>
          <w:bCs/>
          <w:sz w:val="21"/>
          <w:szCs w:val="21"/>
        </w:rPr>
      </w:pPr>
      <w:r>
        <w:rPr>
          <w:rFonts w:hint="eastAsia" w:ascii="宋体" w:hAnsi="宋体"/>
          <w:bCs/>
          <w:sz w:val="21"/>
          <w:szCs w:val="21"/>
        </w:rPr>
        <w:t>1．形象视觉识别系统设计项目的创意、应用方案；</w:t>
      </w:r>
    </w:p>
    <w:p>
      <w:pPr>
        <w:ind w:firstLine="420" w:firstLineChars="200"/>
        <w:rPr>
          <w:rFonts w:ascii="宋体" w:hAnsi="宋体"/>
          <w:bCs/>
          <w:sz w:val="21"/>
          <w:szCs w:val="21"/>
        </w:rPr>
      </w:pPr>
      <w:r>
        <w:rPr>
          <w:rFonts w:hint="eastAsia" w:ascii="宋体" w:hAnsi="宋体"/>
          <w:bCs/>
          <w:sz w:val="21"/>
          <w:szCs w:val="21"/>
        </w:rPr>
        <w:t>2．近三年内服务大型企事业相关单位视觉识别系统项目的设计及实施案例，需附名单、合同及协议复印件；</w:t>
      </w:r>
    </w:p>
    <w:p>
      <w:pPr>
        <w:ind w:firstLine="420" w:firstLineChars="200"/>
        <w:rPr>
          <w:rFonts w:ascii="宋体" w:hAnsi="宋体"/>
          <w:bCs/>
          <w:sz w:val="21"/>
          <w:szCs w:val="21"/>
        </w:rPr>
      </w:pPr>
      <w:r>
        <w:rPr>
          <w:rFonts w:hint="eastAsia" w:ascii="宋体" w:hAnsi="宋体"/>
          <w:bCs/>
          <w:sz w:val="21"/>
          <w:szCs w:val="21"/>
        </w:rPr>
        <w:t>3．项目组人员基本情况介绍及项目组情况概述；</w:t>
      </w:r>
    </w:p>
    <w:p>
      <w:pPr>
        <w:ind w:firstLine="420" w:firstLineChars="200"/>
        <w:rPr>
          <w:rFonts w:ascii="宋体" w:hAnsi="宋体"/>
          <w:bCs/>
          <w:sz w:val="21"/>
          <w:szCs w:val="21"/>
        </w:rPr>
      </w:pPr>
      <w:r>
        <w:rPr>
          <w:rFonts w:hint="eastAsia" w:ascii="宋体" w:hAnsi="宋体"/>
          <w:bCs/>
          <w:sz w:val="21"/>
          <w:szCs w:val="21"/>
        </w:rPr>
        <w:t>4．承诺书（包括严格按照甲方要求或既定计划及时完成各项工作任务，执行过程中需临时解决的问题等售后保证）；</w:t>
      </w:r>
    </w:p>
    <w:p>
      <w:pPr>
        <w:ind w:firstLine="420" w:firstLineChars="200"/>
        <w:rPr>
          <w:rFonts w:ascii="宋体" w:hAnsi="宋体"/>
          <w:bCs/>
          <w:sz w:val="21"/>
          <w:szCs w:val="21"/>
        </w:rPr>
      </w:pPr>
      <w:r>
        <w:rPr>
          <w:rFonts w:hint="eastAsia" w:ascii="宋体" w:hAnsi="宋体"/>
          <w:bCs/>
          <w:sz w:val="21"/>
          <w:szCs w:val="21"/>
        </w:rPr>
        <w:t>5．工作进度安排；</w:t>
      </w:r>
    </w:p>
    <w:p>
      <w:pPr>
        <w:ind w:firstLine="420" w:firstLineChars="200"/>
        <w:rPr>
          <w:rFonts w:ascii="宋体" w:hAnsi="宋体"/>
          <w:bCs/>
          <w:sz w:val="21"/>
          <w:szCs w:val="21"/>
        </w:rPr>
      </w:pPr>
      <w:r>
        <w:rPr>
          <w:rFonts w:hint="eastAsia" w:ascii="宋体" w:hAnsi="宋体"/>
          <w:bCs/>
          <w:sz w:val="21"/>
          <w:szCs w:val="21"/>
        </w:rPr>
        <w:t>6．执行过程中的危机预警和处理机制；</w:t>
      </w:r>
    </w:p>
    <w:p>
      <w:pPr>
        <w:ind w:firstLine="420" w:firstLineChars="200"/>
        <w:rPr>
          <w:rFonts w:ascii="宋体" w:hAnsi="宋体"/>
          <w:bCs/>
          <w:sz w:val="21"/>
          <w:szCs w:val="21"/>
        </w:rPr>
      </w:pPr>
      <w:r>
        <w:rPr>
          <w:rFonts w:hint="eastAsia" w:ascii="宋体" w:hAnsi="宋体"/>
          <w:bCs/>
          <w:sz w:val="21"/>
          <w:szCs w:val="21"/>
        </w:rPr>
        <w:t>7．其他需要说明的事项。</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未成交方案补偿：采购人将给予第四章评标办法及评分标准《技术分》中“设计方案效果图”评分项中得分排名前三的的供应商给予每家单位人民币</w:t>
      </w:r>
      <w:r>
        <w:rPr>
          <w:rFonts w:ascii="宋体" w:hAnsi="宋体"/>
          <w:bCs/>
          <w:sz w:val="21"/>
          <w:szCs w:val="21"/>
        </w:rPr>
        <w:t>5000元整（大写：人民币伍仟元整，含税）的设计补偿费，用于购买其提交的方案版权</w:t>
      </w:r>
      <w:r>
        <w:rPr>
          <w:rFonts w:hint="eastAsia" w:ascii="宋体" w:hAnsi="宋体"/>
          <w:bCs/>
          <w:sz w:val="21"/>
          <w:szCs w:val="21"/>
        </w:rPr>
        <w:t>，如遇得分相同或中标人在此行列，则相应顺延共至三家</w:t>
      </w:r>
      <w:r>
        <w:rPr>
          <w:rFonts w:ascii="宋体" w:hAnsi="宋体"/>
          <w:bCs/>
          <w:sz w:val="21"/>
          <w:szCs w:val="21"/>
        </w:rPr>
        <w:t>。补偿费于双方签订补偿金合同后20个工作日内由采购人一次性支付。如供应商提供的响应文件中作品涉嫌抄袭的，不予补偿。</w:t>
      </w:r>
    </w:p>
    <w:p>
      <w:pPr>
        <w:adjustRightInd w:val="0"/>
        <w:snapToGrid w:val="0"/>
        <w:spacing w:line="288" w:lineRule="auto"/>
        <w:rPr>
          <w:rFonts w:ascii="宋体" w:hAnsi="宋体"/>
          <w:b/>
          <w:bCs/>
          <w:sz w:val="21"/>
          <w:szCs w:val="21"/>
        </w:rPr>
      </w:pPr>
      <w:r>
        <w:rPr>
          <w:rFonts w:hint="eastAsia" w:ascii="宋体" w:hAnsi="宋体"/>
          <w:b/>
          <w:bCs/>
          <w:sz w:val="21"/>
          <w:szCs w:val="21"/>
        </w:rPr>
        <w:t>注：</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1.需执行的国家相关标准、行业标准、地方标准或者其他标准、规范：</w:t>
      </w:r>
      <w:r>
        <w:rPr>
          <w:rFonts w:hint="eastAsia" w:ascii="宋体" w:hAnsi="宋体" w:cs="宋体"/>
          <w:sz w:val="21"/>
          <w:szCs w:val="21"/>
        </w:rPr>
        <w:t>产品制造国有强制性标准的执行产品制造国强制性标准，无的统一执行我国最新相关标准、规范</w:t>
      </w:r>
      <w:r>
        <w:rPr>
          <w:rFonts w:hint="eastAsia" w:ascii="宋体" w:hAnsi="宋体"/>
          <w:sz w:val="21"/>
          <w:szCs w:val="21"/>
        </w:rPr>
        <w:t>；</w:t>
      </w:r>
      <w:r>
        <w:rPr>
          <w:rFonts w:hint="eastAsia" w:ascii="宋体" w:hAnsi="宋体" w:cs="宋体"/>
          <w:sz w:val="21"/>
          <w:szCs w:val="21"/>
        </w:rPr>
        <w:t>有强制性标准的执行国家强制性标准，无的统一执行最新相关标准、规范；</w:t>
      </w:r>
    </w:p>
    <w:p>
      <w:pPr>
        <w:adjustRightInd w:val="0"/>
        <w:snapToGrid w:val="0"/>
        <w:spacing w:line="288" w:lineRule="auto"/>
        <w:ind w:firstLine="422" w:firstLineChars="200"/>
        <w:rPr>
          <w:rFonts w:ascii="宋体" w:hAnsi="宋体"/>
          <w:bCs/>
          <w:sz w:val="21"/>
          <w:szCs w:val="21"/>
        </w:rPr>
      </w:pPr>
      <w:r>
        <w:rPr>
          <w:rFonts w:hint="eastAsia" w:ascii="宋体" w:hAnsi="宋体"/>
          <w:b/>
          <w:bCs/>
          <w:sz w:val="21"/>
          <w:szCs w:val="21"/>
        </w:rPr>
        <w:t>2.除采购文件明确的品牌外，欢迎其他能满足本项目技术需求且性能与所明确品牌相当的产品参加，同时在采购需求偏离表中作出详细对比说明。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E6D4E"/>
    <w:rsid w:val="537E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2021-06-25T08:56:00Z</dcterms:created>
  <dc:creator>Jody</dc:creator>
  <lastModifiedBy>Jody</lastModifiedBy>
  <dcterms:modified xsi:type="dcterms:W3CDTF">2021-06-25T08:56:08Z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C3372BB5E4184DD586E990D3BD5FE898</vt:lpwstr>
  </property>
</Properties>
</file>