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sz w:val="32"/>
          <w:szCs w:val="32"/>
        </w:rPr>
        <w:t xml:space="preserve"> </w:t>
      </w: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140"/>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序号</w:t>
            </w:r>
          </w:p>
        </w:tc>
        <w:tc>
          <w:tcPr>
            <w:tcW w:w="4140"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政策名称</w:t>
            </w:r>
          </w:p>
        </w:tc>
        <w:tc>
          <w:tcPr>
            <w:tcW w:w="4678" w:type="dxa"/>
            <w:vAlign w:val="center"/>
          </w:tcPr>
          <w:p>
            <w:pPr>
              <w:adjustRightInd w:val="0"/>
              <w:snapToGrid w:val="0"/>
              <w:spacing w:line="288" w:lineRule="auto"/>
              <w:jc w:val="center"/>
              <w:rPr>
                <w:rFonts w:ascii="宋体" w:hAnsi="宋体"/>
                <w:b/>
                <w:sz w:val="21"/>
                <w:szCs w:val="21"/>
              </w:rPr>
            </w:pPr>
            <w:r>
              <w:rPr>
                <w:rFonts w:hint="eastAsia" w:ascii="宋体" w:hAnsi="宋体"/>
                <w:b/>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1</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政府采购促进中小企业发展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2</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政府采购支持监狱企业发展</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3</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政府采购促进残疾人就业</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4</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政府强制采购节能产品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5</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政府优先采购节能、环保产品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8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6</w:t>
            </w:r>
          </w:p>
        </w:tc>
        <w:tc>
          <w:tcPr>
            <w:tcW w:w="4140"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政府采购进口产品</w:t>
            </w:r>
          </w:p>
        </w:tc>
        <w:tc>
          <w:tcPr>
            <w:tcW w:w="4678" w:type="dxa"/>
            <w:vAlign w:val="center"/>
          </w:tcPr>
          <w:p>
            <w:pPr>
              <w:adjustRightInd w:val="0"/>
              <w:snapToGrid w:val="0"/>
              <w:spacing w:line="288" w:lineRule="auto"/>
              <w:jc w:val="center"/>
              <w:rPr>
                <w:rFonts w:ascii="宋体" w:hAnsi="宋体"/>
                <w:sz w:val="21"/>
                <w:szCs w:val="21"/>
              </w:rPr>
            </w:pPr>
            <w:r>
              <w:rPr>
                <w:rFonts w:hint="eastAsia" w:ascii="宋体" w:hAnsi="宋体" w:cs="宋体"/>
                <w:sz w:val="21"/>
                <w:szCs w:val="21"/>
              </w:rPr>
              <w:t>不允许采购进口产品</w:t>
            </w:r>
          </w:p>
        </w:tc>
      </w:tr>
    </w:tbl>
    <w:p>
      <w:pPr>
        <w:adjustRightInd w:val="0"/>
        <w:snapToGrid w:val="0"/>
        <w:spacing w:line="288" w:lineRule="auto"/>
        <w:rPr>
          <w:rFonts w:ascii="宋体" w:hAnsi="宋体"/>
          <w:sz w:val="21"/>
          <w:szCs w:val="21"/>
        </w:rPr>
      </w:pPr>
    </w:p>
    <w:p>
      <w:pPr>
        <w:adjustRightInd w:val="0"/>
        <w:snapToGrid w:val="0"/>
        <w:spacing w:line="288" w:lineRule="auto"/>
        <w:rPr>
          <w:rFonts w:ascii="宋体" w:hAnsi="宋体"/>
          <w:b/>
          <w:bCs/>
          <w:sz w:val="21"/>
          <w:szCs w:val="21"/>
        </w:rPr>
      </w:pPr>
      <w:r>
        <w:rPr>
          <w:rFonts w:hint="eastAsia" w:ascii="宋体" w:hAnsi="宋体"/>
          <w:b/>
          <w:bCs/>
          <w:sz w:val="21"/>
          <w:szCs w:val="21"/>
        </w:rPr>
        <w:t>采购标的对应的中小企业划分标准所属行业：软件和信息技术服务业</w:t>
      </w:r>
    </w:p>
    <w:p>
      <w:pPr>
        <w:adjustRightInd w:val="0"/>
        <w:snapToGrid w:val="0"/>
        <w:spacing w:line="288" w:lineRule="auto"/>
        <w:rPr>
          <w:rFonts w:ascii="宋体" w:hAnsi="宋体"/>
          <w:sz w:val="21"/>
          <w:szCs w:val="21"/>
        </w:rPr>
      </w:pPr>
      <w:r>
        <w:rPr>
          <w:rFonts w:hint="eastAsia" w:ascii="宋体" w:hAnsi="宋体"/>
          <w:b/>
          <w:bCs/>
          <w:sz w:val="21"/>
          <w:szCs w:val="21"/>
        </w:rPr>
        <w:t>中小企业划型标准：</w:t>
      </w:r>
      <w:r>
        <w:rPr>
          <w:rFonts w:hint="eastAsia" w:ascii="宋体" w:hAnsi="宋体"/>
          <w:sz w:val="21"/>
          <w:szCs w:val="21"/>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2"/>
        <w:tblW w:w="9498"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843"/>
        <w:gridCol w:w="765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▲履约保证金</w:t>
            </w:r>
          </w:p>
        </w:tc>
        <w:tc>
          <w:tcPr>
            <w:tcW w:w="7655" w:type="dxa"/>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5%的履约保证金，履约保证金在服务期内无质量问题和维护问题，服务期满后，于20个工作日内退还（不计息），逾期退还的，自逾期之日起，向中标人每日偿付合同价款的0.05%的违约金；</w:t>
            </w:r>
          </w:p>
          <w:p>
            <w:pPr>
              <w:adjustRightInd w:val="0"/>
              <w:snapToGrid w:val="0"/>
              <w:spacing w:line="288" w:lineRule="auto"/>
              <w:rPr>
                <w:rFonts w:ascii="宋体" w:hAnsi="宋体"/>
                <w:spacing w:val="-6"/>
                <w:sz w:val="21"/>
                <w:szCs w:val="21"/>
              </w:rPr>
            </w:pPr>
            <w:r>
              <w:rPr>
                <w:rFonts w:hint="eastAsia" w:ascii="宋体" w:hAnsi="宋体" w:cs="宋体"/>
                <w:spacing w:val="-6"/>
                <w:kern w:val="0"/>
                <w:sz w:val="21"/>
                <w:szCs w:val="21"/>
              </w:rPr>
              <w:t>2.提交方式：支票、汇票、本票等非现金形式。</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1" w:hRule="atLeast"/>
        </w:trPr>
        <w:tc>
          <w:tcPr>
            <w:tcW w:w="1843" w:type="dxa"/>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5" w:type="dxa"/>
            <w:vAlign w:val="center"/>
          </w:tcPr>
          <w:p>
            <w:pPr>
              <w:adjustRightInd w:val="0"/>
              <w:snapToGrid w:val="0"/>
              <w:spacing w:line="288" w:lineRule="auto"/>
              <w:rPr>
                <w:rFonts w:ascii="宋体" w:hAnsi="宋体"/>
                <w:spacing w:val="-6"/>
                <w:sz w:val="21"/>
                <w:szCs w:val="21"/>
              </w:rPr>
            </w:pPr>
            <w:r>
              <w:rPr>
                <w:rFonts w:hint="eastAsia" w:ascii="宋体" w:hAnsi="宋体" w:cs="宋体"/>
                <w:spacing w:val="-6"/>
                <w:sz w:val="21"/>
                <w:szCs w:val="21"/>
              </w:rPr>
              <w:t>采购合同签订后且中标人已提交履约保证金的，采购人向中标人支付合同总价的</w:t>
            </w:r>
            <w:r>
              <w:rPr>
                <w:rFonts w:ascii="宋体" w:hAnsi="宋体" w:cs="宋体"/>
                <w:spacing w:val="-6"/>
                <w:sz w:val="21"/>
                <w:szCs w:val="21"/>
              </w:rPr>
              <w:t>30</w:t>
            </w:r>
            <w:r>
              <w:rPr>
                <w:rFonts w:hint="eastAsia" w:ascii="宋体" w:hAnsi="宋体" w:cs="宋体"/>
                <w:spacing w:val="-6"/>
                <w:sz w:val="21"/>
                <w:szCs w:val="21"/>
              </w:rPr>
              <w:t>%；货物送达指定地点，经采购人验收合格，自收到中标人开具的发票后5个工作日内支付合同总价的</w:t>
            </w:r>
            <w:r>
              <w:rPr>
                <w:rFonts w:ascii="宋体" w:hAnsi="宋体" w:cs="宋体"/>
                <w:spacing w:val="-6"/>
                <w:sz w:val="21"/>
                <w:szCs w:val="21"/>
              </w:rPr>
              <w:t>70</w:t>
            </w:r>
            <w:r>
              <w:rPr>
                <w:rFonts w:hint="eastAsia" w:ascii="宋体" w:hAnsi="宋体" w:cs="宋体"/>
                <w:spacing w:val="-6"/>
                <w:sz w:val="21"/>
                <w:szCs w:val="21"/>
              </w:rPr>
              <w:t>%，逾期支付货款的，自逾期之日起，向中标人每日偿付未付价款0.05%的滞纳金。</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2"/>
        <w:tblW w:w="949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合同之日起 日内完成安装调试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硬件系统质量保证期为</w:t>
            </w:r>
            <w:r>
              <w:rPr>
                <w:rFonts w:ascii="宋体" w:hAnsi="宋体" w:cs="宋体"/>
                <w:sz w:val="21"/>
                <w:szCs w:val="21"/>
              </w:rPr>
              <w:t>1</w:t>
            </w:r>
            <w:r>
              <w:rPr>
                <w:rFonts w:hint="eastAsia" w:ascii="宋体" w:hAnsi="宋体" w:cs="宋体"/>
                <w:sz w:val="21"/>
                <w:szCs w:val="21"/>
              </w:rPr>
              <w:t>年，软件免费升级期为</w:t>
            </w:r>
            <w:r>
              <w:rPr>
                <w:rFonts w:ascii="宋体" w:hAnsi="宋体" w:cs="宋体"/>
                <w:sz w:val="21"/>
                <w:szCs w:val="21"/>
              </w:rPr>
              <w:t>1</w:t>
            </w:r>
            <w:r>
              <w:rPr>
                <w:rFonts w:hint="eastAsia" w:ascii="宋体" w:hAnsi="宋体" w:cs="宋体"/>
                <w:sz w:val="21"/>
                <w:szCs w:val="21"/>
              </w:rPr>
              <w:t>年，项目验收合格后开始计算</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在质保期内，供应商应在收到故障设备和部件一个月内将更换或修理好的故障设备和部件寄还采购人；</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在质保期内，供应商系统软件的版本更新信息应及时通知采购人，并应协助采购人对系统软件的版本免费更新升级。</w:t>
            </w:r>
          </w:p>
          <w:p>
            <w:pPr>
              <w:adjustRightInd w:val="0"/>
              <w:snapToGrid w:val="0"/>
              <w:spacing w:line="288" w:lineRule="auto"/>
              <w:rPr>
                <w:rFonts w:ascii="宋体" w:hAnsi="宋体" w:cs="宋体"/>
                <w:sz w:val="21"/>
                <w:szCs w:val="21"/>
              </w:rPr>
            </w:pPr>
            <w:r>
              <w:rPr>
                <w:rFonts w:hint="eastAsia" w:ascii="宋体" w:hAnsi="宋体" w:cs="宋体"/>
                <w:sz w:val="21"/>
                <w:szCs w:val="21"/>
                <w:u w:val="single"/>
              </w:rPr>
              <w:t>供应商在质保期满后，继续提供收费的设备维修、配件供应、技术支持、产品升级服务，内容和保修期内完全一致。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ascii="宋体" w:hAnsi="宋体" w:cs="宋体"/>
                <w:sz w:val="21"/>
                <w:szCs w:val="21"/>
              </w:rPr>
              <w:t>1</w:t>
            </w:r>
            <w:r>
              <w:rPr>
                <w:rFonts w:hint="eastAsia" w:ascii="宋体" w:hAnsi="宋体" w:cs="宋体"/>
                <w:sz w:val="21"/>
                <w:szCs w:val="21"/>
              </w:rPr>
              <w:t>.在质保期内，供应商应对货物出现的质量及安全问题负责处理解决并承担一切费用。</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质保期内出现无法排除的故障，供应商需无条件更换同型号产品。</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质保期满后，供应商继续为采购人服务，仅收取零配件成本费。</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因人为因素出现的故障不在免费保修范围内。</w:t>
            </w:r>
          </w:p>
          <w:p>
            <w:pPr>
              <w:adjustRightInd w:val="0"/>
              <w:snapToGrid w:val="0"/>
              <w:spacing w:line="288" w:lineRule="auto"/>
              <w:rPr>
                <w:rFonts w:ascii="宋体" w:hAnsi="宋体" w:cs="宋体"/>
                <w:sz w:val="21"/>
                <w:szCs w:val="21"/>
                <w:u w:val="single"/>
              </w:rPr>
            </w:pPr>
            <w:r>
              <w:rPr>
                <w:rFonts w:ascii="宋体" w:hAnsi="宋体" w:cs="宋体"/>
                <w:sz w:val="21"/>
                <w:szCs w:val="21"/>
              </w:rPr>
              <w:t>5</w:t>
            </w:r>
            <w:r>
              <w:rPr>
                <w:rFonts w:hint="eastAsia" w:ascii="宋体" w:hAnsi="宋体" w:cs="宋体"/>
                <w:sz w:val="21"/>
                <w:szCs w:val="21"/>
              </w:rPr>
              <w:t>.</w:t>
            </w:r>
            <w:r>
              <w:rPr>
                <w:rFonts w:hint="eastAsia" w:ascii="宋体" w:hAnsi="宋体" w:cs="宋体"/>
                <w:sz w:val="21"/>
                <w:szCs w:val="21"/>
                <w:u w:val="single"/>
              </w:rPr>
              <w:t>合同签订后，供应商应指定负责本项目的项目经理，负责协调供方在项目全过程的各项工作，如：项目进度、设备供货、现场安装、质量保证、调试验收等。</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供方对系统提供长期的技术支持。为了保证高效率的技术支持，对于软硬件基本使用及基本故障问题，需方可直接与供方沟通，供方通过电话、传真以及电子邮件方式提供24小时技术服务，在需方提出要求后，供方随时提供现场的技术指导和交流。在设备发生故障的情况下, 承诺在72小时内赶赴现场排除故障或者提出解决方案；</w:t>
            </w:r>
          </w:p>
          <w:p>
            <w:pPr>
              <w:adjustRightInd w:val="0"/>
              <w:snapToGrid w:val="0"/>
              <w:spacing w:line="288" w:lineRule="auto"/>
              <w:rPr>
                <w:rFonts w:ascii="宋体" w:hAnsi="宋体" w:cs="宋体"/>
                <w:sz w:val="21"/>
                <w:szCs w:val="21"/>
                <w:u w:val="single"/>
              </w:rPr>
            </w:pPr>
            <w:r>
              <w:rPr>
                <w:rFonts w:hint="eastAsia" w:ascii="宋体" w:hAnsi="宋体" w:cs="宋体"/>
                <w:sz w:val="21"/>
                <w:szCs w:val="21"/>
                <w:u w:val="single"/>
              </w:rPr>
              <w:t>供应商将常见故障现象、故障原因及修复方法等形成书面报告交需方存档备查。</w:t>
            </w:r>
          </w:p>
          <w:p>
            <w:pPr>
              <w:adjustRightInd w:val="0"/>
              <w:snapToGrid w:val="0"/>
              <w:spacing w:line="288" w:lineRule="auto"/>
              <w:rPr>
                <w:rFonts w:ascii="宋体" w:hAnsi="宋体" w:cs="宋体"/>
                <w:sz w:val="21"/>
                <w:szCs w:val="21"/>
              </w:rPr>
            </w:pPr>
            <w:r>
              <w:rPr>
                <w:rFonts w:ascii="宋体" w:hAnsi="宋体" w:cs="宋体"/>
                <w:sz w:val="21"/>
                <w:szCs w:val="21"/>
              </w:rPr>
              <w:t>6</w:t>
            </w:r>
            <w:r>
              <w:rPr>
                <w:rFonts w:hint="eastAsia" w:ascii="宋体" w:hAnsi="宋体" w:cs="宋体"/>
                <w:sz w:val="21"/>
                <w:szCs w:val="21"/>
              </w:rPr>
              <w:t>.培训：</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供应商应对采购人的操作人员、维修人员免费进行培训；</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供应商应提供相应的培训计划；</w:t>
            </w:r>
          </w:p>
          <w:p>
            <w:pPr>
              <w:adjustRightInd w:val="0"/>
              <w:snapToGrid w:val="0"/>
              <w:spacing w:line="288" w:lineRule="auto"/>
              <w:rPr>
                <w:rFonts w:ascii="宋体" w:hAnsi="宋体" w:cs="宋体"/>
                <w:sz w:val="21"/>
                <w:szCs w:val="21"/>
              </w:rPr>
            </w:pPr>
            <w:r>
              <w:rPr>
                <w:rFonts w:hint="eastAsia" w:ascii="宋体" w:hAnsi="宋体" w:cs="宋体"/>
                <w:sz w:val="21"/>
                <w:szCs w:val="21"/>
              </w:rPr>
              <w:t>上述内容的实现方式、时间、地点、人数应在投标文件中详细说明。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w:t>
            </w:r>
            <w:r>
              <w:rPr>
                <w:rFonts w:ascii="宋体" w:hAnsi="宋体" w:cs="宋体"/>
                <w:sz w:val="21"/>
                <w:szCs w:val="21"/>
              </w:rPr>
              <w:t>.</w:t>
            </w:r>
            <w:r>
              <w:rPr>
                <w:rFonts w:hint="eastAsia" w:ascii="宋体" w:hAnsi="宋体" w:cs="宋体"/>
                <w:sz w:val="21"/>
                <w:szCs w:val="21"/>
              </w:rPr>
              <w:t>供应商应按招标文件规定的货物性能、技术要求、质量标准向采购人提供未经使用的全新产品，符合国家法律规定和技术规格、质量标准的出厂原装合格产品。</w:t>
            </w:r>
          </w:p>
          <w:p>
            <w:pPr>
              <w:adjustRightInd w:val="0"/>
              <w:snapToGrid w:val="0"/>
              <w:spacing w:line="288" w:lineRule="auto"/>
              <w:rPr>
                <w:rFonts w:ascii="宋体" w:hAnsi="宋体" w:cs="宋体"/>
                <w:sz w:val="21"/>
                <w:szCs w:val="21"/>
              </w:rPr>
            </w:pPr>
            <w:r>
              <w:rPr>
                <w:rFonts w:ascii="宋体" w:hAnsi="宋体" w:cs="宋体"/>
                <w:sz w:val="21"/>
                <w:szCs w:val="21"/>
              </w:rPr>
              <w:t>2</w:t>
            </w:r>
            <w:r>
              <w:rPr>
                <w:rFonts w:hint="eastAsia" w:ascii="宋体" w:hAnsi="宋体" w:cs="宋体"/>
                <w:sz w:val="21"/>
                <w:szCs w:val="21"/>
              </w:rPr>
              <w:t>.技术支持：</w:t>
            </w:r>
          </w:p>
          <w:p>
            <w:pPr>
              <w:adjustRightInd w:val="0"/>
              <w:snapToGrid w:val="0"/>
              <w:spacing w:line="288" w:lineRule="auto"/>
              <w:rPr>
                <w:rFonts w:ascii="宋体" w:hAnsi="宋体" w:cs="宋体"/>
                <w:sz w:val="21"/>
                <w:szCs w:val="21"/>
              </w:rPr>
            </w:pPr>
            <w:r>
              <w:rPr>
                <w:rFonts w:hint="eastAsia" w:ascii="宋体" w:hAnsi="宋体" w:cs="宋体"/>
                <w:sz w:val="21"/>
                <w:szCs w:val="21"/>
              </w:rPr>
              <w:t>供应商应及时免费提供合同货物软件的升级，免费提供合同货物新功能和应用的资料。</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.安装调试：</w:t>
            </w:r>
            <w:r>
              <w:rPr>
                <w:rFonts w:ascii="宋体" w:hAnsi="宋体" w:cs="宋体"/>
                <w:sz w:val="21"/>
                <w:szCs w:val="21"/>
              </w:rPr>
              <w:t xml:space="preserve"> </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.1安装地点：采购人指定地点；</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.4安装标准：符合我国国家有关技术规范要求和技术标准，所有的软件和硬件必须保证同时安装到位；</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.5供应商免费提供合同货物的安装服务；</w:t>
            </w:r>
          </w:p>
          <w:p>
            <w:pPr>
              <w:adjustRightInd w:val="0"/>
              <w:snapToGrid w:val="0"/>
              <w:spacing w:line="288" w:lineRule="auto"/>
              <w:rPr>
                <w:rFonts w:ascii="宋体" w:hAnsi="宋体" w:cs="宋体"/>
                <w:sz w:val="21"/>
                <w:szCs w:val="21"/>
              </w:rPr>
            </w:pPr>
            <w:r>
              <w:rPr>
                <w:rFonts w:ascii="宋体" w:hAnsi="宋体" w:cs="宋体"/>
                <w:sz w:val="21"/>
                <w:szCs w:val="21"/>
              </w:rPr>
              <w:t>3</w:t>
            </w:r>
            <w:r>
              <w:rPr>
                <w:rFonts w:hint="eastAsia" w:ascii="宋体" w:hAnsi="宋体" w:cs="宋体"/>
                <w:sz w:val="21"/>
                <w:szCs w:val="21"/>
              </w:rPr>
              <w:t>.6供应商在投标文件中应提供安装调试计划、对安装场地和环境的要求。</w:t>
            </w:r>
          </w:p>
          <w:p>
            <w:pPr>
              <w:adjustRightInd w:val="0"/>
              <w:snapToGrid w:val="0"/>
              <w:spacing w:line="288" w:lineRule="auto"/>
              <w:rPr>
                <w:rFonts w:ascii="宋体" w:hAnsi="宋体" w:cs="宋体"/>
                <w:sz w:val="21"/>
                <w:szCs w:val="21"/>
              </w:rPr>
            </w:pPr>
            <w:r>
              <w:rPr>
                <w:rFonts w:ascii="宋体" w:hAnsi="宋体" w:cs="宋体"/>
                <w:sz w:val="21"/>
                <w:szCs w:val="21"/>
              </w:rPr>
              <w:t>4</w:t>
            </w:r>
            <w:r>
              <w:rPr>
                <w:rFonts w:hint="eastAsia" w:ascii="宋体" w:hAnsi="宋体" w:cs="宋体"/>
                <w:sz w:val="21"/>
                <w:szCs w:val="21"/>
              </w:rPr>
              <w:t>.供应商应提供质保期满后主要零部件报价单、质保期满后维护费、软件升级及其相关服务内容；</w:t>
            </w:r>
          </w:p>
          <w:p>
            <w:pPr>
              <w:adjustRightInd w:val="0"/>
              <w:snapToGrid w:val="0"/>
              <w:spacing w:line="288" w:lineRule="auto"/>
              <w:rPr>
                <w:rFonts w:ascii="宋体" w:hAnsi="宋体" w:cs="宋体"/>
                <w:sz w:val="21"/>
                <w:szCs w:val="21"/>
              </w:rPr>
            </w:pPr>
            <w:r>
              <w:rPr>
                <w:rFonts w:ascii="宋体" w:hAnsi="宋体" w:cs="宋体"/>
                <w:sz w:val="21"/>
                <w:szCs w:val="21"/>
              </w:rPr>
              <w:t>5</w:t>
            </w:r>
            <w:r>
              <w:rPr>
                <w:rFonts w:hint="eastAsia" w:ascii="宋体" w:hAnsi="宋体" w:cs="宋体"/>
                <w:sz w:val="21"/>
                <w:szCs w:val="21"/>
              </w:rPr>
              <w:t>.供货时提供有关的全套技术文件。</w:t>
            </w:r>
          </w:p>
          <w:p>
            <w:pPr>
              <w:adjustRightInd w:val="0"/>
              <w:snapToGrid w:val="0"/>
              <w:spacing w:line="288" w:lineRule="auto"/>
              <w:rPr>
                <w:rFonts w:ascii="宋体" w:hAnsi="宋体"/>
                <w:spacing w:val="-6"/>
                <w:sz w:val="21"/>
                <w:szCs w:val="21"/>
              </w:rPr>
            </w:pPr>
            <w:r>
              <w:rPr>
                <w:rFonts w:hint="eastAsia" w:ascii="宋体" w:hAnsi="宋体" w:cs="宋体"/>
                <w:sz w:val="21"/>
                <w:szCs w:val="21"/>
              </w:rPr>
              <w:t>6</w:t>
            </w:r>
            <w:r>
              <w:rPr>
                <w:rFonts w:ascii="宋体" w:hAnsi="宋体" w:cs="宋体"/>
                <w:sz w:val="21"/>
                <w:szCs w:val="21"/>
              </w:rPr>
              <w:t>.</w:t>
            </w:r>
            <w:r>
              <w:rPr>
                <w:rFonts w:hint="eastAsia" w:ascii="宋体" w:hAnsi="宋体"/>
                <w:spacing w:val="-6"/>
                <w:sz w:val="21"/>
                <w:szCs w:val="21"/>
              </w:rPr>
              <w:t>供应商应保证所提供的货物或其中任何一部分均不会侵犯第三方的知识产权。</w:t>
            </w:r>
          </w:p>
          <w:p>
            <w:pPr>
              <w:adjustRightInd w:val="0"/>
              <w:snapToGrid w:val="0"/>
              <w:spacing w:line="288" w:lineRule="auto"/>
              <w:rPr>
                <w:rFonts w:ascii="宋体" w:hAnsi="宋体"/>
                <w:spacing w:val="-6"/>
                <w:sz w:val="21"/>
                <w:szCs w:val="21"/>
              </w:rPr>
            </w:pPr>
            <w:r>
              <w:rPr>
                <w:rFonts w:hint="eastAsia" w:ascii="宋体" w:hAnsi="宋体"/>
                <w:spacing w:val="-6"/>
                <w:sz w:val="21"/>
                <w:szCs w:val="21"/>
              </w:rPr>
              <w:t>7</w:t>
            </w:r>
            <w:r>
              <w:rPr>
                <w:rFonts w:ascii="宋体" w:hAnsi="宋体"/>
                <w:spacing w:val="-6"/>
                <w:sz w:val="21"/>
                <w:szCs w:val="21"/>
              </w:rPr>
              <w:t>.</w:t>
            </w:r>
            <w:r>
              <w:rPr>
                <w:rFonts w:hint="eastAsia" w:ascii="宋体" w:hAnsi="宋体"/>
                <w:spacing w:val="-6"/>
                <w:sz w:val="21"/>
                <w:szCs w:val="21"/>
              </w:rPr>
              <w:t xml:space="preserve"> 供应商对设备的材料、连接、组装、工艺、整体以及功能性能进行试验和检查，以保证系统完全符合本技术规范的要求。</w:t>
            </w:r>
          </w:p>
          <w:p>
            <w:pPr>
              <w:adjustRightInd w:val="0"/>
              <w:snapToGrid w:val="0"/>
              <w:spacing w:line="288" w:lineRule="auto"/>
              <w:rPr>
                <w:rFonts w:ascii="宋体" w:hAnsi="宋体" w:cs="宋体"/>
                <w:sz w:val="21"/>
                <w:szCs w:val="21"/>
              </w:rPr>
            </w:pPr>
            <w:r>
              <w:rPr>
                <w:rFonts w:hint="eastAsia" w:ascii="宋体" w:hAnsi="宋体"/>
                <w:spacing w:val="-6"/>
                <w:sz w:val="21"/>
                <w:szCs w:val="21"/>
              </w:rPr>
              <w:t>供应商按国家标准、相关电气国际标准、设备厂家标准以及本技术规范书的规定对提供的数字仿真平台系统的所有材料进行试验。在设备安装后由供方配合需方在现场完成验收调试，供方提供现场调试试验大纲和试验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1.验收由采购人负责实施；</w:t>
            </w:r>
          </w:p>
          <w:p>
            <w:pPr>
              <w:adjustRightInd w:val="0"/>
              <w:snapToGrid w:val="0"/>
              <w:spacing w:line="288" w:lineRule="auto"/>
              <w:rPr>
                <w:rFonts w:ascii="宋体" w:hAnsi="宋体" w:cs="宋体"/>
                <w:sz w:val="21"/>
                <w:szCs w:val="21"/>
              </w:rPr>
            </w:pPr>
            <w:r>
              <w:rPr>
                <w:rFonts w:hint="eastAsia" w:ascii="宋体" w:hAnsi="宋体" w:cs="宋体"/>
                <w:sz w:val="21"/>
                <w:szCs w:val="21"/>
              </w:rPr>
              <w:t>2.验收依据：</w:t>
            </w:r>
          </w:p>
          <w:p>
            <w:pPr>
              <w:adjustRightInd w:val="0"/>
              <w:snapToGrid w:val="0"/>
              <w:spacing w:line="288" w:lineRule="auto"/>
              <w:rPr>
                <w:rFonts w:ascii="宋体" w:hAnsi="宋体" w:cs="宋体"/>
                <w:sz w:val="21"/>
                <w:szCs w:val="21"/>
              </w:rPr>
            </w:pPr>
            <w:r>
              <w:rPr>
                <w:rFonts w:hint="eastAsia" w:ascii="宋体" w:hAnsi="宋体" w:cs="宋体"/>
                <w:sz w:val="21"/>
                <w:szCs w:val="21"/>
              </w:rPr>
              <w:t>2.1合同、招标文件、投标文件；</w:t>
            </w:r>
          </w:p>
          <w:p>
            <w:pPr>
              <w:adjustRightInd w:val="0"/>
              <w:snapToGrid w:val="0"/>
              <w:spacing w:line="288" w:lineRule="auto"/>
              <w:rPr>
                <w:rFonts w:ascii="宋体" w:hAnsi="宋体" w:cs="宋体"/>
                <w:sz w:val="21"/>
                <w:szCs w:val="21"/>
              </w:rPr>
            </w:pPr>
            <w:r>
              <w:rPr>
                <w:rFonts w:hint="eastAsia" w:ascii="宋体" w:hAnsi="宋体" w:cs="宋体"/>
                <w:sz w:val="21"/>
                <w:szCs w:val="21"/>
              </w:rPr>
              <w:t>2.2供应商提供的技术规格、经采购人认可的合同货物的有效检验文件；</w:t>
            </w:r>
          </w:p>
          <w:p>
            <w:pPr>
              <w:adjustRightInd w:val="0"/>
              <w:snapToGrid w:val="0"/>
              <w:spacing w:line="288" w:lineRule="auto"/>
              <w:rPr>
                <w:rFonts w:ascii="宋体" w:hAnsi="宋体" w:cs="宋体"/>
                <w:sz w:val="21"/>
                <w:szCs w:val="21"/>
              </w:rPr>
            </w:pPr>
            <w:r>
              <w:rPr>
                <w:rFonts w:hint="eastAsia" w:ascii="宋体" w:hAnsi="宋体" w:cs="宋体"/>
                <w:sz w:val="21"/>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cs="宋体"/>
                <w:sz w:val="21"/>
                <w:szCs w:val="21"/>
              </w:rPr>
            </w:pPr>
            <w:r>
              <w:rPr>
                <w:rFonts w:hint="eastAsia" w:ascii="宋体" w:hAnsi="宋体" w:cs="宋体"/>
                <w:sz w:val="21"/>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cs="宋体"/>
                <w:sz w:val="21"/>
                <w:szCs w:val="21"/>
              </w:rPr>
            </w:pPr>
            <w:r>
              <w:rPr>
                <w:rFonts w:hint="eastAsia" w:ascii="宋体" w:hAnsi="宋体" w:cs="宋体"/>
                <w:sz w:val="21"/>
                <w:szCs w:val="21"/>
              </w:rPr>
              <w:t>4.验收合格的条件：</w:t>
            </w:r>
          </w:p>
          <w:p>
            <w:pPr>
              <w:adjustRightInd w:val="0"/>
              <w:snapToGrid w:val="0"/>
              <w:spacing w:line="288" w:lineRule="auto"/>
              <w:rPr>
                <w:rFonts w:ascii="宋体" w:hAnsi="宋体" w:cs="宋体"/>
                <w:sz w:val="21"/>
                <w:szCs w:val="21"/>
              </w:rPr>
            </w:pPr>
            <w:r>
              <w:rPr>
                <w:rFonts w:hint="eastAsia" w:ascii="宋体" w:hAnsi="宋体" w:cs="宋体"/>
                <w:sz w:val="21"/>
                <w:szCs w:val="21"/>
              </w:rPr>
              <w:t>4.1所供货物符合产品标准和及合同的要求；</w:t>
            </w:r>
          </w:p>
          <w:p>
            <w:pPr>
              <w:adjustRightInd w:val="0"/>
              <w:snapToGrid w:val="0"/>
              <w:spacing w:line="288" w:lineRule="auto"/>
              <w:rPr>
                <w:rFonts w:ascii="宋体" w:hAnsi="宋体" w:cs="宋体"/>
                <w:sz w:val="21"/>
                <w:szCs w:val="21"/>
              </w:rPr>
            </w:pPr>
            <w:r>
              <w:rPr>
                <w:rFonts w:hint="eastAsia" w:ascii="宋体" w:hAnsi="宋体" w:cs="宋体"/>
                <w:sz w:val="21"/>
                <w:szCs w:val="21"/>
              </w:rPr>
              <w:t>4.2在进行测试和验收过程中发现的问题已被解决并得到采购人的认可；</w:t>
            </w:r>
          </w:p>
          <w:p>
            <w:pPr>
              <w:adjustRightInd w:val="0"/>
              <w:snapToGrid w:val="0"/>
              <w:spacing w:line="288" w:lineRule="auto"/>
              <w:rPr>
                <w:rFonts w:ascii="宋体" w:hAnsi="宋体" w:cs="宋体"/>
                <w:sz w:val="21"/>
                <w:szCs w:val="21"/>
              </w:rPr>
            </w:pPr>
            <w:r>
              <w:rPr>
                <w:rFonts w:hint="eastAsia" w:ascii="宋体" w:hAnsi="宋体" w:cs="宋体"/>
                <w:sz w:val="21"/>
                <w:szCs w:val="21"/>
              </w:rPr>
              <w:t>4.3合同中规定的所有货物和材料均已交付；</w:t>
            </w:r>
          </w:p>
          <w:p>
            <w:pPr>
              <w:adjustRightInd w:val="0"/>
              <w:snapToGrid w:val="0"/>
              <w:spacing w:line="288" w:lineRule="auto"/>
              <w:rPr>
                <w:rFonts w:ascii="宋体" w:hAnsi="宋体" w:cs="宋体"/>
                <w:sz w:val="21"/>
                <w:szCs w:val="21"/>
              </w:rPr>
            </w:pPr>
            <w:r>
              <w:rPr>
                <w:rFonts w:hint="eastAsia" w:ascii="宋体" w:hAnsi="宋体" w:cs="宋体"/>
                <w:sz w:val="21"/>
                <w:szCs w:val="21"/>
              </w:rPr>
              <w:t>4.4所供货物已通过使用单位组织的验收；</w:t>
            </w:r>
          </w:p>
          <w:p>
            <w:pPr>
              <w:adjustRightInd w:val="0"/>
              <w:snapToGrid w:val="0"/>
              <w:spacing w:line="288" w:lineRule="auto"/>
              <w:rPr>
                <w:rFonts w:ascii="宋体" w:hAnsi="宋体" w:cs="宋体"/>
                <w:sz w:val="21"/>
                <w:szCs w:val="21"/>
              </w:rPr>
            </w:pPr>
            <w:r>
              <w:rPr>
                <w:rFonts w:hint="eastAsia" w:ascii="宋体" w:hAnsi="宋体" w:cs="宋体"/>
                <w:sz w:val="21"/>
                <w:szCs w:val="21"/>
              </w:rPr>
              <w:t>4.5所有相关的技术文件及资料均已提交并得到接受。</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ind w:firstLine="422" w:firstLineChars="200"/>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r>
        <w:rPr>
          <w:rFonts w:hint="eastAsia" w:ascii="宋体" w:hAnsi="宋体" w:cs="宋体"/>
          <w:sz w:val="21"/>
          <w:szCs w:val="21"/>
        </w:rPr>
        <w:t>如技术要求中未注明需执行的国家相关标准、行业标准、地方标准或者其他标准、规范的，执行最新标准、规范。</w:t>
      </w:r>
    </w:p>
    <w:p>
      <w:pPr>
        <w:adjustRightInd w:val="0"/>
        <w:snapToGrid w:val="0"/>
        <w:spacing w:line="288" w:lineRule="auto"/>
        <w:ind w:firstLine="422" w:firstLineChars="200"/>
        <w:rPr>
          <w:rFonts w:ascii="宋体" w:hAnsi="宋体" w:cs="宋体"/>
          <w:sz w:val="21"/>
          <w:szCs w:val="21"/>
        </w:rPr>
      </w:pPr>
      <w:r>
        <w:rPr>
          <w:rFonts w:ascii="宋体" w:hAnsi="宋体" w:cs="宋体"/>
          <w:b/>
          <w:bCs/>
          <w:sz w:val="21"/>
          <w:szCs w:val="21"/>
        </w:rPr>
        <w:t>2</w:t>
      </w:r>
      <w:r>
        <w:rPr>
          <w:rFonts w:hint="eastAsia" w:ascii="宋体" w:hAnsi="宋体" w:cs="宋体"/>
          <w:b/>
          <w:bCs/>
          <w:sz w:val="21"/>
          <w:szCs w:val="21"/>
        </w:rPr>
        <w:t>.需实现的目标：</w:t>
      </w:r>
      <w:r>
        <w:rPr>
          <w:rFonts w:hint="eastAsia" w:ascii="宋体" w:hAnsi="宋体" w:cs="宋体"/>
          <w:sz w:val="21"/>
          <w:szCs w:val="21"/>
        </w:rPr>
        <w:t>该系统可用来快速搭建综合能源系统模型，并将实时仿真的结果发送到外部控制器或数据库。使用热力子系统仿真模型库中的模块，无需修改模块内部的元器件连接，直接设置设备参数并连接系统拓扑，便可完成综合能源实时仿真模型的搭建。基础数据采集与接口模型可实时监测综合能源仿真模型中各设备的运行情况，并将运行结果发送到数据库中。综合能源场景模型是一个典型的综合能源研究场景，可用于日常的展示以及建模的借鉴。多功能数字量输出模块用于将实时仿真产生的信号发送到外部控制器。</w:t>
      </w:r>
    </w:p>
    <w:p>
      <w:pPr>
        <w:adjustRightInd w:val="0"/>
        <w:snapToGrid w:val="0"/>
        <w:spacing w:line="288" w:lineRule="auto"/>
        <w:ind w:firstLine="406" w:firstLineChars="200"/>
        <w:rPr>
          <w:rFonts w:ascii="宋体" w:hAnsi="宋体"/>
          <w:b/>
          <w:bCs/>
          <w:spacing w:val="-4"/>
          <w:sz w:val="21"/>
          <w:szCs w:val="21"/>
        </w:rPr>
      </w:pPr>
      <w:r>
        <w:rPr>
          <w:rFonts w:ascii="宋体" w:hAnsi="宋体"/>
          <w:b/>
          <w:bCs/>
          <w:spacing w:val="-4"/>
          <w:sz w:val="21"/>
          <w:szCs w:val="21"/>
        </w:rPr>
        <w:t>3.</w:t>
      </w:r>
      <w:r>
        <w:rPr>
          <w:rFonts w:hint="eastAsia" w:ascii="宋体" w:hAnsi="宋体"/>
          <w:b/>
          <w:bCs/>
          <w:spacing w:val="-4"/>
          <w:sz w:val="21"/>
          <w:szCs w:val="21"/>
        </w:rPr>
        <w:t>需满足的</w:t>
      </w:r>
      <w:r>
        <w:rPr>
          <w:rFonts w:hint="eastAsia" w:ascii="宋体" w:hAnsi="宋体" w:cs="宋体"/>
          <w:b/>
          <w:bCs/>
          <w:sz w:val="21"/>
          <w:szCs w:val="21"/>
        </w:rPr>
        <w:t>功能</w:t>
      </w:r>
      <w:r>
        <w:rPr>
          <w:rFonts w:hint="eastAsia" w:ascii="宋体" w:hAnsi="宋体"/>
          <w:b/>
          <w:bCs/>
          <w:spacing w:val="-4"/>
          <w:sz w:val="21"/>
          <w:szCs w:val="21"/>
        </w:rPr>
        <w:t>等要求：</w:t>
      </w:r>
    </w:p>
    <w:tbl>
      <w:tblPr>
        <w:tblStyle w:val="2"/>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08"/>
        <w:gridCol w:w="709"/>
        <w:gridCol w:w="709"/>
        <w:gridCol w:w="6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序号</w:t>
            </w:r>
          </w:p>
        </w:tc>
        <w:tc>
          <w:tcPr>
            <w:tcW w:w="15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名称</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数量</w:t>
            </w:r>
          </w:p>
        </w:tc>
        <w:tc>
          <w:tcPr>
            <w:tcW w:w="70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单位</w:t>
            </w:r>
          </w:p>
        </w:tc>
        <w:tc>
          <w:tcPr>
            <w:tcW w:w="6475"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功能等要求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ascii="宋体" w:hAnsi="宋体" w:cs="宋体"/>
                <w:kern w:val="0"/>
                <w:sz w:val="21"/>
                <w:szCs w:val="21"/>
              </w:rPr>
              <w:t>1</w:t>
            </w:r>
          </w:p>
        </w:tc>
        <w:tc>
          <w:tcPr>
            <w:tcW w:w="1508" w:type="dxa"/>
            <w:vAlign w:val="center"/>
          </w:tcPr>
          <w:p>
            <w:pPr>
              <w:adjustRightInd w:val="0"/>
              <w:snapToGrid w:val="0"/>
              <w:spacing w:line="288" w:lineRule="auto"/>
              <w:jc w:val="center"/>
              <w:rPr>
                <w:rFonts w:ascii="宋体" w:hAnsi="宋体" w:cs="宋体"/>
                <w:kern w:val="0"/>
                <w:sz w:val="21"/>
                <w:szCs w:val="21"/>
              </w:rPr>
            </w:pPr>
            <w:r>
              <w:rPr>
                <w:rFonts w:hint="eastAsia" w:ascii="宋体" w:hAnsi="宋体" w:cs="宋体"/>
                <w:kern w:val="0"/>
                <w:sz w:val="21"/>
                <w:szCs w:val="21"/>
              </w:rPr>
              <w:t>热力子系统仿真模型库</w:t>
            </w:r>
          </w:p>
          <w:p>
            <w:pPr>
              <w:adjustRightInd w:val="0"/>
              <w:snapToGrid w:val="0"/>
              <w:spacing w:line="288" w:lineRule="auto"/>
              <w:jc w:val="center"/>
              <w:rPr>
                <w:rFonts w:ascii="宋体" w:hAnsi="宋体"/>
                <w:b/>
                <w:bCs/>
                <w:sz w:val="21"/>
                <w:szCs w:val="21"/>
              </w:rPr>
            </w:pPr>
            <w:r>
              <w:rPr>
                <w:rFonts w:hint="eastAsia" w:ascii="宋体" w:hAnsi="宋体" w:cs="宋体"/>
                <w:b/>
                <w:bCs/>
                <w:kern w:val="0"/>
                <w:sz w:val="21"/>
                <w:szCs w:val="21"/>
              </w:rPr>
              <w:t>（核心产品）</w:t>
            </w:r>
          </w:p>
        </w:tc>
        <w:tc>
          <w:tcPr>
            <w:tcW w:w="709" w:type="dxa"/>
            <w:vAlign w:val="center"/>
          </w:tcPr>
          <w:p>
            <w:pPr>
              <w:adjustRightInd w:val="0"/>
              <w:snapToGrid w:val="0"/>
              <w:spacing w:line="288" w:lineRule="auto"/>
              <w:jc w:val="center"/>
              <w:rPr>
                <w:rFonts w:ascii="宋体" w:hAnsi="宋体" w:cs="宋体"/>
                <w:sz w:val="21"/>
                <w:szCs w:val="21"/>
              </w:rPr>
            </w:pPr>
            <w:r>
              <w:rPr>
                <w:rFonts w:ascii="宋体" w:hAnsi="宋体" w:cs="宋体"/>
                <w:sz w:val="21"/>
                <w:szCs w:val="21"/>
              </w:rPr>
              <w:t>1</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475" w:type="dxa"/>
          </w:tcPr>
          <w:p>
            <w:pPr>
              <w:adjustRightInd w:val="0"/>
              <w:snapToGrid w:val="0"/>
              <w:spacing w:line="288" w:lineRule="auto"/>
              <w:jc w:val="left"/>
              <w:rPr>
                <w:rFonts w:ascii="宋体" w:hAnsi="宋体"/>
                <w:sz w:val="21"/>
                <w:szCs w:val="21"/>
              </w:rPr>
            </w:pPr>
            <w:r>
              <w:rPr>
                <w:rFonts w:hint="eastAsia" w:ascii="宋体" w:hAnsi="宋体"/>
                <w:sz w:val="21"/>
                <w:szCs w:val="21"/>
              </w:rPr>
              <w:t>综合能源系统中经典热力系统（含天然气管网）模型，如CCHP三联供、热泵、冷水机组、吸收式制冷机组、内燃机、锅炉、空调、燃料电池等</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专业的热力学仿真关键设备模型库，</w:t>
            </w:r>
            <w:r>
              <w:rPr>
                <w:rFonts w:hint="eastAsia" w:ascii="宋体" w:hAnsi="宋体"/>
                <w:sz w:val="21"/>
                <w:szCs w:val="21"/>
              </w:rPr>
              <w:t>具备RT</w:t>
            </w:r>
            <w:r>
              <w:rPr>
                <w:rFonts w:ascii="宋体" w:hAnsi="宋体"/>
                <w:sz w:val="21"/>
                <w:szCs w:val="21"/>
              </w:rPr>
              <w:t>-</w:t>
            </w:r>
            <w:r>
              <w:rPr>
                <w:rFonts w:hint="eastAsia" w:ascii="宋体" w:hAnsi="宋体"/>
                <w:sz w:val="21"/>
                <w:szCs w:val="21"/>
              </w:rPr>
              <w:t>EVENT插值补偿算法，状态空间截点法算法等，以及和</w:t>
            </w:r>
            <w:r>
              <w:rPr>
                <w:rFonts w:hint="eastAsia" w:ascii="宋体" w:hAnsi="宋体" w:cs="宋体"/>
                <w:sz w:val="21"/>
                <w:szCs w:val="21"/>
              </w:rPr>
              <w:t>联合仿真接口包括：</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1）空调模型：</w:t>
            </w:r>
            <w:r>
              <w:rPr>
                <w:rFonts w:hint="eastAsia"/>
                <w:sz w:val="21"/>
                <w:szCs w:val="21"/>
              </w:rPr>
              <w:t>基于热力学原理，根据环境条件、设定温度和空间容积，控制实际压缩机运行状态、出风温度和出风量。</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2）热泵模型：</w:t>
            </w:r>
            <w:r>
              <w:rPr>
                <w:rFonts w:hint="eastAsia"/>
                <w:sz w:val="21"/>
                <w:szCs w:val="21"/>
              </w:rPr>
              <w:t>根据供热工况额定温度、流量和热泵额定功率，实现不同回水状态下热泵的变工况运行，输出供热流动参数、热功率、电功率等参数。</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3）冷水机组模型：</w:t>
            </w:r>
            <w:r>
              <w:rPr>
                <w:rFonts w:hint="eastAsia"/>
                <w:sz w:val="21"/>
                <w:szCs w:val="21"/>
              </w:rPr>
              <w:t>根据供冷工况额定温度、流量和冷水机组额定功率，实现不同回水状态下冷水机组的变工况运行，输出供水流动参数、冷功率、电功率等参数，模拟压缩制冷循环蒸发、压缩、冷凝、节流过程。</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4）余热回收锅炉模型：</w:t>
            </w:r>
            <w:r>
              <w:rPr>
                <w:rFonts w:hint="eastAsia"/>
                <w:sz w:val="21"/>
                <w:szCs w:val="21"/>
              </w:rPr>
              <w:t>根据换热元件热交换特性，输入工质换热特性，实现高温工质余热回收效果，输出低温工质流动状态的温度、流量特性，考虑模型流动损失的计算。</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5）电锅炉模型：</w:t>
            </w:r>
            <w:r>
              <w:rPr>
                <w:rFonts w:hint="eastAsia"/>
                <w:sz w:val="21"/>
                <w:szCs w:val="21"/>
              </w:rPr>
              <w:t>以电为热量来源，通过锅炉的换热部位把热媒水或有机热载体加热到一定参数</w:t>
            </w:r>
            <w:r>
              <w:rPr>
                <w:sz w:val="21"/>
                <w:szCs w:val="21"/>
              </w:rPr>
              <w:t>(</w:t>
            </w:r>
            <w:r>
              <w:rPr>
                <w:rFonts w:hint="eastAsia"/>
                <w:sz w:val="21"/>
                <w:szCs w:val="21"/>
              </w:rPr>
              <w:t>温度、压力</w:t>
            </w:r>
            <w:r>
              <w:rPr>
                <w:sz w:val="21"/>
                <w:szCs w:val="21"/>
              </w:rPr>
              <w:t>)</w:t>
            </w:r>
            <w:r>
              <w:rPr>
                <w:rFonts w:hint="eastAsia"/>
                <w:sz w:val="21"/>
                <w:szCs w:val="21"/>
              </w:rPr>
              <w:t>时，向外输出具有额定状态的供热工质。</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6）燃料电池模型：配置额定功率、电池组数、极化特性参数，利用燃料和氧化剂流动状态发生化学反应时释出的能量，直接将其变换为电能。</w:t>
            </w:r>
          </w:p>
          <w:p>
            <w:pPr>
              <w:adjustRightInd w:val="0"/>
              <w:snapToGrid w:val="0"/>
              <w:spacing w:line="288" w:lineRule="auto"/>
              <w:jc w:val="left"/>
              <w:rPr>
                <w:rFonts w:ascii="宋体" w:hAnsi="宋体" w:cs="宋体"/>
                <w:sz w:val="21"/>
                <w:szCs w:val="21"/>
              </w:rPr>
            </w:pPr>
            <w:r>
              <w:rPr>
                <w:rFonts w:hint="eastAsia" w:ascii="宋体" w:hAnsi="宋体" w:cs="宋体"/>
                <w:sz w:val="21"/>
                <w:szCs w:val="21"/>
              </w:rPr>
              <w:t>7）可调热负荷模型：通用热负荷计算模型，根据入口流动状态与实际消耗的热功率，模拟实际热负荷消耗，计算出口工质流动状态。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2</w:t>
            </w:r>
          </w:p>
        </w:tc>
        <w:tc>
          <w:tcPr>
            <w:tcW w:w="1508" w:type="dxa"/>
            <w:vAlign w:val="center"/>
          </w:tcPr>
          <w:p>
            <w:pPr>
              <w:adjustRightInd w:val="0"/>
              <w:snapToGrid w:val="0"/>
              <w:spacing w:line="288" w:lineRule="auto"/>
              <w:jc w:val="center"/>
              <w:rPr>
                <w:rFonts w:ascii="宋体" w:hAnsi="宋体"/>
                <w:sz w:val="21"/>
                <w:szCs w:val="21"/>
              </w:rPr>
            </w:pPr>
            <w:r>
              <w:rPr>
                <w:rFonts w:hint="eastAsia" w:ascii="宋体" w:hAnsi="宋体" w:cs="宋体"/>
                <w:kern w:val="0"/>
                <w:sz w:val="21"/>
                <w:szCs w:val="21"/>
              </w:rPr>
              <w:t>基础数据采集与接口模型</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475" w:type="dxa"/>
          </w:tcPr>
          <w:p>
            <w:pPr>
              <w:adjustRightInd w:val="0"/>
              <w:snapToGrid w:val="0"/>
              <w:spacing w:line="288" w:lineRule="auto"/>
              <w:jc w:val="left"/>
              <w:rPr>
                <w:rFonts w:ascii="宋体" w:hAnsi="宋体"/>
                <w:sz w:val="21"/>
                <w:szCs w:val="21"/>
              </w:rPr>
            </w:pPr>
            <w:r>
              <w:rPr>
                <w:rFonts w:hint="eastAsia" w:ascii="宋体" w:hAnsi="宋体"/>
                <w:sz w:val="21"/>
                <w:szCs w:val="21"/>
              </w:rPr>
              <w:t>标准的设备数据采集模块和通讯接口模型：可采集实时仿真的结果，并将仿真结果发送到外部数据库。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kern w:val="0"/>
                <w:sz w:val="21"/>
                <w:szCs w:val="21"/>
              </w:rPr>
              <w:t>3</w:t>
            </w:r>
          </w:p>
        </w:tc>
        <w:tc>
          <w:tcPr>
            <w:tcW w:w="1508" w:type="dxa"/>
            <w:vAlign w:val="center"/>
          </w:tcPr>
          <w:p>
            <w:pPr>
              <w:adjustRightInd w:val="0"/>
              <w:snapToGrid w:val="0"/>
              <w:spacing w:line="288" w:lineRule="auto"/>
              <w:jc w:val="center"/>
              <w:rPr>
                <w:rFonts w:ascii="宋体" w:hAnsi="宋体"/>
                <w:b/>
                <w:bCs/>
                <w:sz w:val="21"/>
                <w:szCs w:val="21"/>
              </w:rPr>
            </w:pPr>
            <w:r>
              <w:rPr>
                <w:rFonts w:hint="eastAsia" w:ascii="宋体" w:hAnsi="宋体" w:cs="宋体"/>
                <w:kern w:val="0"/>
                <w:sz w:val="21"/>
                <w:szCs w:val="21"/>
              </w:rPr>
              <w:t>综合能源场景模型</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475" w:type="dxa"/>
          </w:tcPr>
          <w:p>
            <w:pPr>
              <w:adjustRightInd w:val="0"/>
              <w:snapToGrid w:val="0"/>
              <w:spacing w:line="288" w:lineRule="auto"/>
              <w:jc w:val="left"/>
              <w:rPr>
                <w:rFonts w:ascii="宋体" w:hAnsi="宋体" w:cs="宋体"/>
                <w:sz w:val="21"/>
                <w:szCs w:val="21"/>
              </w:rPr>
            </w:pPr>
            <w:r>
              <w:rPr>
                <w:rFonts w:hint="eastAsia" w:ascii="宋体" w:hAnsi="宋体"/>
                <w:sz w:val="21"/>
                <w:szCs w:val="21"/>
              </w:rPr>
              <w:t>一套基于RT</w:t>
            </w:r>
            <w:r>
              <w:rPr>
                <w:rFonts w:ascii="宋体" w:hAnsi="宋体"/>
                <w:sz w:val="21"/>
                <w:szCs w:val="21"/>
              </w:rPr>
              <w:t>-</w:t>
            </w:r>
            <w:r>
              <w:rPr>
                <w:rFonts w:hint="eastAsia" w:ascii="宋体" w:hAnsi="宋体"/>
                <w:sz w:val="21"/>
                <w:szCs w:val="21"/>
              </w:rPr>
              <w:t>LAB的区域综合能源场景模型，包含风机、光伏、CCHP、热泵、冷水机组、储能、可调负荷等，具备RT</w:t>
            </w:r>
            <w:r>
              <w:rPr>
                <w:rFonts w:ascii="宋体" w:hAnsi="宋体"/>
                <w:sz w:val="21"/>
                <w:szCs w:val="21"/>
              </w:rPr>
              <w:t>-</w:t>
            </w:r>
            <w:r>
              <w:rPr>
                <w:rFonts w:hint="eastAsia" w:ascii="宋体" w:hAnsi="宋体"/>
                <w:sz w:val="21"/>
                <w:szCs w:val="21"/>
              </w:rPr>
              <w:t>EVENT插值补偿算法，状态空间截点法算法等。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59" w:type="dxa"/>
            <w:vAlign w:val="center"/>
          </w:tcPr>
          <w:p>
            <w:pPr>
              <w:adjustRightInd w:val="0"/>
              <w:snapToGrid w:val="0"/>
              <w:spacing w:line="288" w:lineRule="auto"/>
              <w:jc w:val="center"/>
              <w:rPr>
                <w:rFonts w:ascii="宋体" w:hAnsi="宋体" w:cs="宋体"/>
                <w:sz w:val="21"/>
                <w:szCs w:val="21"/>
              </w:rPr>
            </w:pPr>
            <w:r>
              <w:rPr>
                <w:rFonts w:ascii="宋体" w:hAnsi="宋体" w:cs="宋体"/>
                <w:kern w:val="0"/>
                <w:sz w:val="21"/>
                <w:szCs w:val="21"/>
              </w:rPr>
              <w:t>4</w:t>
            </w:r>
          </w:p>
        </w:tc>
        <w:tc>
          <w:tcPr>
            <w:tcW w:w="1508" w:type="dxa"/>
            <w:vAlign w:val="center"/>
          </w:tcPr>
          <w:p>
            <w:pPr>
              <w:adjustRightInd w:val="0"/>
              <w:snapToGrid w:val="0"/>
              <w:spacing w:line="288" w:lineRule="auto"/>
              <w:jc w:val="center"/>
              <w:rPr>
                <w:rFonts w:ascii="宋体" w:hAnsi="宋体"/>
                <w:b/>
                <w:bCs/>
                <w:sz w:val="21"/>
                <w:szCs w:val="21"/>
              </w:rPr>
            </w:pPr>
            <w:r>
              <w:rPr>
                <w:rFonts w:hint="eastAsia" w:ascii="宋体" w:hAnsi="宋体" w:cs="宋体"/>
                <w:kern w:val="0"/>
                <w:sz w:val="21"/>
                <w:szCs w:val="21"/>
              </w:rPr>
              <w:t>机柜</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1</w:t>
            </w:r>
          </w:p>
        </w:tc>
        <w:tc>
          <w:tcPr>
            <w:tcW w:w="709"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套</w:t>
            </w:r>
          </w:p>
        </w:tc>
        <w:tc>
          <w:tcPr>
            <w:tcW w:w="6475" w:type="dxa"/>
          </w:tcPr>
          <w:p>
            <w:pPr>
              <w:adjustRightInd w:val="0"/>
              <w:snapToGrid w:val="0"/>
              <w:spacing w:line="288" w:lineRule="auto"/>
              <w:jc w:val="left"/>
              <w:rPr>
                <w:rFonts w:ascii="宋体" w:hAnsi="宋体" w:cs="宋体"/>
                <w:sz w:val="21"/>
                <w:szCs w:val="21"/>
              </w:rPr>
            </w:pPr>
            <w:r>
              <w:rPr>
                <w:rFonts w:hint="eastAsia" w:ascii="宋体" w:hAnsi="宋体"/>
                <w:sz w:val="21"/>
                <w:szCs w:val="21"/>
              </w:rPr>
              <w:t>19'标准机柜，规格600mm*800mm*37U，标配前玻璃门，厚钢板门，3块隔板，1套电源排插, 4只脚轮。选配 1个2U键盘板，1组盲板，1个电源控制箱和1套8口以太网交换机。标牌定制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E06C5A"/>
    <w:rsid w:val="75E06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2021-11-11T09:12:00Z</dcterms:created>
  <dc:creator>amander</dc:creator>
  <lastModifiedBy>amander</lastModifiedBy>
  <dcterms:modified xsi:type="dcterms:W3CDTF">2021-11-11T09:12:24Z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C6C2D4F8ADC843159E5F90FDC8E070A1</vt:lpwstr>
  </property>
</Properties>
</file>