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ind w:left="238"/>
        <w:jc w:val="center"/>
        <w:outlineLvl w:val="0"/>
        <w:rPr>
          <w:rFonts w:ascii="宋体" w:hAnsi="宋体"/>
          <w:b/>
          <w:bCs/>
          <w:sz w:val="32"/>
          <w:szCs w:val="32"/>
        </w:rPr>
      </w:pPr>
      <w:r>
        <w:rPr>
          <w:rFonts w:hint="eastAsia" w:ascii="宋体" w:hAnsi="宋体"/>
          <w:b/>
          <w:bCs/>
          <w:sz w:val="32"/>
          <w:szCs w:val="32"/>
        </w:rPr>
        <w:t>采购需求</w:t>
      </w: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一</w:t>
      </w:r>
      <w:r>
        <w:rPr>
          <w:rFonts w:ascii="宋体" w:hAnsi="宋体"/>
          <w:b/>
          <w:sz w:val="21"/>
          <w:szCs w:val="21"/>
        </w:rPr>
        <w:t>、</w:t>
      </w:r>
      <w:r>
        <w:rPr>
          <w:rFonts w:hint="eastAsia" w:ascii="宋体" w:hAnsi="宋体"/>
          <w:b/>
          <w:sz w:val="21"/>
          <w:szCs w:val="21"/>
        </w:rPr>
        <w:t>为落实政府采购政策需满足的要求：</w:t>
      </w:r>
    </w:p>
    <w:tbl>
      <w:tblPr>
        <w:tblStyle w:val="3"/>
        <w:tblW w:w="949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bookmarkStart w:id="0" w:name="_Hlk45005599"/>
            <w:r>
              <w:rPr>
                <w:rFonts w:hint="eastAsia" w:ascii="宋体" w:hAnsi="宋体" w:cs="宋体"/>
                <w:b/>
                <w:bCs/>
                <w:sz w:val="21"/>
                <w:szCs w:val="21"/>
              </w:rPr>
              <w:t>序号</w:t>
            </w:r>
          </w:p>
        </w:tc>
        <w:tc>
          <w:tcPr>
            <w:tcW w:w="3256"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政策名称</w:t>
            </w:r>
          </w:p>
        </w:tc>
        <w:tc>
          <w:tcPr>
            <w:tcW w:w="5529"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1</w:t>
            </w:r>
          </w:p>
        </w:tc>
        <w:tc>
          <w:tcPr>
            <w:tcW w:w="3256"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政府采购进口产品</w:t>
            </w:r>
          </w:p>
        </w:tc>
        <w:tc>
          <w:tcPr>
            <w:tcW w:w="5529"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2</w:t>
            </w:r>
          </w:p>
        </w:tc>
        <w:tc>
          <w:tcPr>
            <w:tcW w:w="3256"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政府强制采购节能产品</w:t>
            </w:r>
          </w:p>
        </w:tc>
        <w:tc>
          <w:tcPr>
            <w:tcW w:w="5529"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3</w:t>
            </w:r>
          </w:p>
        </w:tc>
        <w:tc>
          <w:tcPr>
            <w:tcW w:w="3256"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政府优先采购节能、环保产品</w:t>
            </w:r>
          </w:p>
        </w:tc>
        <w:tc>
          <w:tcPr>
            <w:tcW w:w="5529" w:type="dxa"/>
            <w:vAlign w:val="center"/>
          </w:tcPr>
          <w:p>
            <w:pPr>
              <w:adjustRightInd w:val="0"/>
              <w:snapToGrid w:val="0"/>
              <w:spacing w:line="288" w:lineRule="auto"/>
              <w:jc w:val="left"/>
              <w:rPr>
                <w:rFonts w:ascii="宋体" w:hAnsi="宋体" w:cs="宋体"/>
                <w:b/>
                <w:bCs/>
                <w:sz w:val="21"/>
                <w:szCs w:val="21"/>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4</w:t>
            </w:r>
          </w:p>
        </w:tc>
        <w:tc>
          <w:tcPr>
            <w:tcW w:w="3256" w:type="dxa"/>
            <w:vAlign w:val="center"/>
          </w:tcPr>
          <w:p>
            <w:pPr>
              <w:adjustRightInd w:val="0"/>
              <w:snapToGrid w:val="0"/>
              <w:spacing w:line="288" w:lineRule="auto"/>
              <w:jc w:val="left"/>
              <w:rPr>
                <w:rFonts w:ascii="宋体" w:hAnsi="宋体" w:cs="宋体"/>
                <w:sz w:val="21"/>
                <w:szCs w:val="16"/>
              </w:rPr>
            </w:pPr>
            <w:r>
              <w:rPr>
                <w:rFonts w:hint="eastAsia" w:ascii="宋体" w:hAnsi="宋体" w:cs="宋体"/>
                <w:sz w:val="21"/>
                <w:szCs w:val="16"/>
              </w:rPr>
              <w:t>政府采购支持科技创新</w:t>
            </w:r>
          </w:p>
        </w:tc>
        <w:tc>
          <w:tcPr>
            <w:tcW w:w="5529" w:type="dxa"/>
            <w:vAlign w:val="center"/>
          </w:tcPr>
          <w:p>
            <w:pPr>
              <w:adjustRightInd w:val="0"/>
              <w:snapToGrid w:val="0"/>
              <w:spacing w:line="288" w:lineRule="auto"/>
              <w:jc w:val="left"/>
              <w:rPr>
                <w:rFonts w:ascii="宋体" w:hAnsi="宋体" w:cs="宋体"/>
                <w:sz w:val="21"/>
                <w:szCs w:val="16"/>
              </w:rPr>
            </w:pPr>
            <w:r>
              <w:rPr>
                <w:rFonts w:hint="eastAsia" w:ascii="宋体" w:hAnsi="宋体" w:cs="宋体"/>
                <w:sz w:val="21"/>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b/>
                <w:bCs/>
                <w:sz w:val="21"/>
                <w:szCs w:val="21"/>
              </w:rPr>
            </w:pPr>
            <w:r>
              <w:rPr>
                <w:rFonts w:hint="eastAsia" w:ascii="宋体" w:hAnsi="宋体" w:cs="宋体"/>
                <w:sz w:val="21"/>
                <w:szCs w:val="21"/>
              </w:rPr>
              <w:t>5</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政府采购促进中小企业发展</w:t>
            </w:r>
          </w:p>
        </w:tc>
        <w:tc>
          <w:tcPr>
            <w:tcW w:w="5529"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提供材料详见招标文件第六章“报价文件”</w:t>
            </w:r>
          </w:p>
          <w:p>
            <w:pPr>
              <w:adjustRightInd w:val="0"/>
              <w:snapToGrid w:val="0"/>
              <w:spacing w:line="288" w:lineRule="auto"/>
              <w:jc w:val="left"/>
              <w:rPr>
                <w:rFonts w:ascii="宋体" w:hAnsi="宋体"/>
                <w:b/>
                <w:bCs/>
                <w:sz w:val="21"/>
                <w:szCs w:val="21"/>
              </w:rPr>
            </w:pPr>
            <w:r>
              <w:rPr>
                <w:rFonts w:hint="eastAsia" w:ascii="宋体" w:hAnsi="宋体"/>
                <w:b/>
                <w:bCs/>
                <w:sz w:val="21"/>
                <w:szCs w:val="21"/>
              </w:rPr>
              <w:t>本项目属性为：</w:t>
            </w:r>
            <w:r>
              <w:rPr>
                <w:rFonts w:ascii="宋体" w:hAnsi="宋体"/>
                <w:b/>
                <w:bCs/>
                <w:sz w:val="21"/>
                <w:szCs w:val="21"/>
              </w:rPr>
              <w:t>服务</w:t>
            </w:r>
          </w:p>
          <w:p>
            <w:pPr>
              <w:adjustRightInd w:val="0"/>
              <w:snapToGrid w:val="0"/>
              <w:spacing w:line="288" w:lineRule="auto"/>
              <w:jc w:val="left"/>
              <w:rPr>
                <w:rFonts w:ascii="宋体" w:hAnsi="宋体"/>
                <w:b/>
                <w:bCs/>
                <w:sz w:val="21"/>
                <w:szCs w:val="21"/>
              </w:rPr>
            </w:pPr>
            <w:r>
              <w:rPr>
                <w:rFonts w:hint="eastAsia" w:ascii="宋体" w:hAnsi="宋体"/>
                <w:b/>
                <w:bCs/>
                <w:sz w:val="21"/>
                <w:szCs w:val="21"/>
              </w:rPr>
              <w:t>采购标的对应的中小企业划分标准所属行业：其他未列明行业。</w:t>
            </w:r>
          </w:p>
          <w:p>
            <w:pPr>
              <w:adjustRightInd w:val="0"/>
              <w:snapToGrid w:val="0"/>
              <w:spacing w:line="288" w:lineRule="auto"/>
              <w:jc w:val="left"/>
              <w:rPr>
                <w:rFonts w:ascii="宋体" w:hAnsi="宋体" w:cs="宋体"/>
                <w:b/>
                <w:bCs/>
                <w:sz w:val="21"/>
                <w:szCs w:val="21"/>
              </w:rPr>
            </w:pPr>
            <w:r>
              <w:rPr>
                <w:rFonts w:hint="eastAsia" w:ascii="宋体" w:hAnsi="宋体"/>
                <w:b/>
                <w:bCs/>
                <w:sz w:val="21"/>
                <w:szCs w:val="21"/>
              </w:rPr>
              <w:t>中小企业划型标准：</w:t>
            </w:r>
            <w:r>
              <w:rPr>
                <w:rFonts w:hint="eastAsia" w:ascii="宋体" w:hAnsi="宋体"/>
                <w:sz w:val="21"/>
                <w:szCs w:val="21"/>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6</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政府采购支持监狱企业发展</w:t>
            </w:r>
          </w:p>
        </w:tc>
        <w:tc>
          <w:tcPr>
            <w:tcW w:w="5529" w:type="dxa"/>
            <w:vAlign w:val="center"/>
          </w:tcPr>
          <w:p>
            <w:pPr>
              <w:adjustRightInd w:val="0"/>
              <w:snapToGrid w:val="0"/>
              <w:spacing w:line="288" w:lineRule="auto"/>
              <w:jc w:val="left"/>
              <w:rPr>
                <w:rFonts w:ascii="宋体" w:hAnsi="宋体"/>
                <w:b/>
                <w:bCs/>
                <w:sz w:val="21"/>
                <w:szCs w:val="21"/>
              </w:rPr>
            </w:pPr>
            <w:r>
              <w:rPr>
                <w:rFonts w:hint="eastAsia" w:ascii="宋体" w:hAnsi="宋体" w:cs="宋体"/>
                <w:sz w:val="21"/>
                <w:szCs w:val="21"/>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cs="宋体"/>
                <w:sz w:val="21"/>
                <w:szCs w:val="21"/>
              </w:rPr>
            </w:pPr>
            <w:r>
              <w:rPr>
                <w:rFonts w:hint="eastAsia" w:ascii="宋体" w:hAnsi="宋体" w:cs="宋体"/>
                <w:sz w:val="21"/>
                <w:szCs w:val="21"/>
              </w:rPr>
              <w:t>7</w:t>
            </w:r>
          </w:p>
        </w:tc>
        <w:tc>
          <w:tcPr>
            <w:tcW w:w="3256"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政府采购促进残疾人就业</w:t>
            </w:r>
          </w:p>
        </w:tc>
        <w:tc>
          <w:tcPr>
            <w:tcW w:w="5529" w:type="dxa"/>
            <w:vAlign w:val="center"/>
          </w:tcPr>
          <w:p>
            <w:pPr>
              <w:adjustRightInd w:val="0"/>
              <w:snapToGrid w:val="0"/>
              <w:spacing w:line="288" w:lineRule="auto"/>
              <w:jc w:val="left"/>
              <w:rPr>
                <w:rFonts w:ascii="宋体" w:hAnsi="宋体" w:cs="宋体"/>
                <w:sz w:val="21"/>
                <w:szCs w:val="21"/>
              </w:rPr>
            </w:pPr>
            <w:r>
              <w:rPr>
                <w:rFonts w:hint="eastAsia" w:ascii="宋体" w:hAnsi="宋体" w:cs="宋体"/>
                <w:sz w:val="21"/>
                <w:szCs w:val="21"/>
              </w:rPr>
              <w:t>提供材料详见招标文件第六章“报价文件”</w:t>
            </w:r>
          </w:p>
        </w:tc>
      </w:tr>
      <w:bookmarkEnd w:id="0"/>
    </w:tbl>
    <w:p>
      <w:pPr>
        <w:adjustRightInd w:val="0"/>
        <w:snapToGrid w:val="0"/>
        <w:spacing w:line="288" w:lineRule="auto"/>
        <w:rPr>
          <w:rFonts w:ascii="宋体" w:hAnsi="宋体"/>
          <w:sz w:val="21"/>
          <w:szCs w:val="21"/>
        </w:rPr>
      </w:pPr>
    </w:p>
    <w:p>
      <w:pPr>
        <w:adjustRightInd w:val="0"/>
        <w:snapToGrid w:val="0"/>
        <w:spacing w:line="288" w:lineRule="auto"/>
        <w:outlineLvl w:val="1"/>
        <w:rPr>
          <w:rFonts w:ascii="宋体" w:hAnsi="宋体"/>
          <w:b/>
          <w:sz w:val="21"/>
          <w:szCs w:val="21"/>
        </w:rPr>
      </w:pPr>
      <w:r>
        <w:rPr>
          <w:rFonts w:hint="eastAsia" w:ascii="宋体" w:hAnsi="宋体"/>
          <w:b/>
          <w:sz w:val="21"/>
          <w:szCs w:val="21"/>
        </w:rPr>
        <w:t>二</w:t>
      </w:r>
      <w:r>
        <w:rPr>
          <w:rFonts w:ascii="宋体" w:hAnsi="宋体"/>
          <w:b/>
          <w:sz w:val="21"/>
          <w:szCs w:val="21"/>
        </w:rPr>
        <w:t>、</w:t>
      </w:r>
      <w:r>
        <w:rPr>
          <w:rFonts w:hint="eastAsia" w:ascii="宋体" w:hAnsi="宋体"/>
          <w:b/>
          <w:sz w:val="21"/>
          <w:szCs w:val="21"/>
        </w:rPr>
        <w:t>采购资金的支付方式、时间、条件：</w:t>
      </w:r>
    </w:p>
    <w:tbl>
      <w:tblPr>
        <w:tblStyle w:val="3"/>
        <w:tblW w:w="9493"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bookmarkStart w:id="1" w:name="_Hlk45005608"/>
            <w:r>
              <w:rPr>
                <w:rFonts w:hint="eastAsia" w:ascii="宋体" w:hAnsi="宋体"/>
                <w:b/>
                <w:spacing w:val="-6"/>
                <w:sz w:val="21"/>
                <w:szCs w:val="21"/>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1.合同签订后一周内，中标人向采购人提交合同总价</w:t>
            </w:r>
            <w:r>
              <w:rPr>
                <w:rFonts w:ascii="宋体" w:hAnsi="宋体" w:cs="宋体"/>
                <w:spacing w:val="-6"/>
                <w:kern w:val="0"/>
                <w:sz w:val="21"/>
                <w:szCs w:val="21"/>
              </w:rPr>
              <w:t>1</w:t>
            </w:r>
            <w:r>
              <w:rPr>
                <w:rFonts w:hint="eastAsia" w:ascii="宋体" w:hAnsi="宋体" w:cs="宋体"/>
                <w:spacing w:val="-6"/>
                <w:kern w:val="0"/>
                <w:sz w:val="21"/>
                <w:szCs w:val="21"/>
              </w:rPr>
              <w:t>%的履约保证金，履约保证金在合同履约期间无违约情形的，项目验收结束后，于一周内退还（不计息）；</w:t>
            </w:r>
          </w:p>
          <w:p>
            <w:pPr>
              <w:adjustRightInd w:val="0"/>
              <w:snapToGrid w:val="0"/>
              <w:spacing w:line="288" w:lineRule="auto"/>
              <w:rPr>
                <w:rFonts w:ascii="宋体" w:hAnsi="宋体" w:cs="宋体"/>
                <w:spacing w:val="-6"/>
                <w:kern w:val="0"/>
                <w:sz w:val="21"/>
                <w:szCs w:val="21"/>
              </w:rPr>
            </w:pPr>
            <w:r>
              <w:rPr>
                <w:rFonts w:hint="eastAsia" w:ascii="宋体" w:hAnsi="宋体" w:cs="宋体"/>
                <w:spacing w:val="-6"/>
                <w:kern w:val="0"/>
                <w:sz w:val="21"/>
                <w:szCs w:val="21"/>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b/>
                <w:spacing w:val="-6"/>
                <w:sz w:val="21"/>
                <w:szCs w:val="21"/>
              </w:rPr>
            </w:pPr>
            <w:r>
              <w:rPr>
                <w:rFonts w:hint="eastAsia" w:ascii="宋体" w:hAnsi="宋体"/>
                <w:b/>
                <w:spacing w:val="-6"/>
                <w:sz w:val="21"/>
                <w:szCs w:val="21"/>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合同生效以及具备实施条件后7个工作日内，采购人向供应商支付合同总价的20%；</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第二年起每年年末支付合同价的</w:t>
            </w:r>
            <w:r>
              <w:rPr>
                <w:rFonts w:ascii="宋体" w:hAnsi="宋体" w:cs="宋体"/>
                <w:spacing w:val="-6"/>
                <w:kern w:val="0"/>
                <w:sz w:val="21"/>
                <w:szCs w:val="21"/>
              </w:rPr>
              <w:t>2</w:t>
            </w:r>
            <w:r>
              <w:rPr>
                <w:rFonts w:hint="eastAsia" w:ascii="宋体" w:hAnsi="宋体" w:cs="宋体"/>
                <w:spacing w:val="-6"/>
                <w:kern w:val="0"/>
                <w:sz w:val="21"/>
                <w:szCs w:val="21"/>
              </w:rPr>
              <w:t>5%（累计不超过90%）；</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项目履约完成，经采购人验收合格后，收到发票后5个工作日内，采购人向供应商支付剩余合同金额。</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逾期支付货款的，自逾期之日起，向中标人每日偿付未付价款0.05%的滞纳金。</w:t>
            </w:r>
          </w:p>
          <w:p>
            <w:pPr>
              <w:autoSpaceDE w:val="0"/>
              <w:autoSpaceDN w:val="0"/>
              <w:adjustRightInd w:val="0"/>
              <w:snapToGrid w:val="0"/>
              <w:spacing w:line="288" w:lineRule="auto"/>
              <w:jc w:val="left"/>
              <w:rPr>
                <w:rFonts w:ascii="宋体" w:hAnsi="宋体" w:cs="宋体"/>
                <w:spacing w:val="-6"/>
                <w:kern w:val="0"/>
                <w:sz w:val="21"/>
                <w:szCs w:val="21"/>
              </w:rPr>
            </w:pPr>
            <w:r>
              <w:rPr>
                <w:rFonts w:hint="eastAsia" w:ascii="宋体" w:hAnsi="宋体" w:cs="宋体"/>
                <w:spacing w:val="-6"/>
                <w:kern w:val="0"/>
                <w:sz w:val="21"/>
                <w:szCs w:val="21"/>
              </w:rPr>
              <w:t>在签订合同时，供应商明确表示无需预付款或者主动要求降低预付款比例的，可降低预付款比例。</w:t>
            </w:r>
          </w:p>
        </w:tc>
      </w:tr>
      <w:bookmarkEnd w:id="1"/>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三</w:t>
      </w:r>
      <w:r>
        <w:rPr>
          <w:rFonts w:ascii="宋体" w:hAnsi="宋体"/>
          <w:b/>
          <w:sz w:val="21"/>
          <w:szCs w:val="21"/>
        </w:rPr>
        <w:t>、</w:t>
      </w:r>
      <w:r>
        <w:rPr>
          <w:rFonts w:hint="eastAsia" w:ascii="宋体" w:hAnsi="宋体"/>
          <w:b/>
          <w:sz w:val="21"/>
          <w:szCs w:val="21"/>
        </w:rPr>
        <w:t>服务</w:t>
      </w:r>
      <w:r>
        <w:rPr>
          <w:rFonts w:ascii="宋体" w:hAnsi="宋体"/>
          <w:b/>
          <w:sz w:val="21"/>
          <w:szCs w:val="21"/>
        </w:rPr>
        <w:t>要求</w:t>
      </w:r>
      <w:r>
        <w:rPr>
          <w:rFonts w:hint="eastAsia" w:ascii="宋体" w:hAnsi="宋体"/>
          <w:b/>
          <w:spacing w:val="-6"/>
          <w:sz w:val="21"/>
          <w:szCs w:val="21"/>
        </w:rPr>
        <w:t>（技术要求里另有注明的以技术要求为准）</w:t>
      </w:r>
      <w:r>
        <w:rPr>
          <w:rFonts w:ascii="宋体" w:hAnsi="宋体"/>
          <w:b/>
          <w:sz w:val="21"/>
          <w:szCs w:val="21"/>
        </w:rPr>
        <w:t>：</w:t>
      </w:r>
    </w:p>
    <w:tbl>
      <w:tblPr>
        <w:tblStyle w:val="3"/>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sz w:val="21"/>
                <w:szCs w:val="21"/>
              </w:rPr>
              <w:t>自签订合同之日起至竣工结算审计结束。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cs="宋体"/>
                <w:b/>
                <w:bCs/>
                <w:sz w:val="21"/>
                <w:szCs w:val="21"/>
              </w:rPr>
            </w:pPr>
            <w:r>
              <w:rPr>
                <w:rFonts w:hint="eastAsia" w:ascii="宋体" w:hAnsi="宋体" w:cs="宋体"/>
                <w:b/>
                <w:bCs/>
                <w:sz w:val="21"/>
                <w:szCs w:val="21"/>
              </w:rPr>
              <w:t>服务地点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cs="宋体"/>
                <w:sz w:val="21"/>
                <w:szCs w:val="21"/>
              </w:rPr>
            </w:pPr>
            <w:r>
              <w:rPr>
                <w:rFonts w:hint="eastAsia" w:ascii="宋体" w:hAnsi="宋体" w:cs="宋体"/>
                <w:sz w:val="21"/>
                <w:szCs w:val="21"/>
              </w:rPr>
              <w:t>采购人指定地点</w:t>
            </w:r>
          </w:p>
        </w:tc>
      </w:tr>
    </w:tbl>
    <w:p>
      <w:pPr>
        <w:adjustRightInd w:val="0"/>
        <w:snapToGrid w:val="0"/>
        <w:spacing w:line="288" w:lineRule="auto"/>
        <w:ind w:left="238" w:hanging="238" w:hangingChars="113"/>
        <w:rPr>
          <w:rFonts w:ascii="宋体" w:hAnsi="宋体"/>
          <w:b/>
          <w:sz w:val="21"/>
          <w:szCs w:val="21"/>
        </w:rPr>
      </w:pPr>
    </w:p>
    <w:p>
      <w:pPr>
        <w:adjustRightInd w:val="0"/>
        <w:snapToGrid w:val="0"/>
        <w:spacing w:line="288" w:lineRule="auto"/>
        <w:ind w:left="238" w:hanging="238" w:hangingChars="113"/>
        <w:outlineLvl w:val="1"/>
        <w:rPr>
          <w:rFonts w:ascii="宋体" w:hAnsi="宋体"/>
          <w:b/>
          <w:sz w:val="21"/>
          <w:szCs w:val="21"/>
        </w:rPr>
      </w:pPr>
      <w:r>
        <w:rPr>
          <w:rFonts w:hint="eastAsia" w:ascii="宋体" w:hAnsi="宋体"/>
          <w:b/>
          <w:sz w:val="21"/>
          <w:szCs w:val="21"/>
        </w:rPr>
        <w:t>四</w:t>
      </w:r>
      <w:r>
        <w:rPr>
          <w:rFonts w:ascii="宋体" w:hAnsi="宋体"/>
          <w:b/>
          <w:sz w:val="21"/>
          <w:szCs w:val="21"/>
        </w:rPr>
        <w:t>、技术要求</w:t>
      </w:r>
    </w:p>
    <w:p>
      <w:pPr>
        <w:adjustRightInd w:val="0"/>
        <w:snapToGrid w:val="0"/>
        <w:spacing w:line="288" w:lineRule="auto"/>
        <w:rPr>
          <w:rFonts w:ascii="宋体" w:hAnsi="宋体"/>
          <w:sz w:val="21"/>
          <w:szCs w:val="21"/>
        </w:rPr>
      </w:pPr>
    </w:p>
    <w:p>
      <w:pPr>
        <w:adjustRightInd w:val="0"/>
        <w:snapToGrid w:val="0"/>
        <w:spacing w:line="288" w:lineRule="auto"/>
        <w:rPr>
          <w:rFonts w:ascii="宋体" w:hAnsi="宋体" w:cs="宋体"/>
          <w:b/>
          <w:bCs/>
          <w:sz w:val="21"/>
          <w:szCs w:val="21"/>
        </w:rPr>
      </w:pPr>
      <w:r>
        <w:rPr>
          <w:rFonts w:hint="eastAsia" w:ascii="宋体" w:hAnsi="宋体" w:cs="宋体"/>
          <w:b/>
          <w:bCs/>
          <w:sz w:val="21"/>
          <w:szCs w:val="21"/>
        </w:rPr>
        <w:t>1</w:t>
      </w:r>
      <w:r>
        <w:rPr>
          <w:rFonts w:ascii="宋体" w:hAnsi="宋体" w:cs="宋体"/>
          <w:b/>
          <w:bCs/>
          <w:sz w:val="21"/>
          <w:szCs w:val="21"/>
        </w:rPr>
        <w:t>.</w:t>
      </w:r>
      <w:r>
        <w:rPr>
          <w:rFonts w:hint="eastAsia" w:ascii="宋体" w:hAnsi="宋体" w:cs="宋体"/>
          <w:b/>
          <w:bCs/>
          <w:sz w:val="21"/>
          <w:szCs w:val="21"/>
        </w:rPr>
        <w:t>需执行的国家相关标准、行业标准、地方标准或者其他标准、规范：</w:t>
      </w:r>
      <w:bookmarkStart w:id="2" w:name="_Hlk94018176"/>
      <w:r>
        <w:rPr>
          <w:rFonts w:hint="eastAsia" w:ascii="宋体" w:hAnsi="宋体" w:cs="宋体"/>
          <w:sz w:val="21"/>
          <w:szCs w:val="21"/>
        </w:rPr>
        <w:t>如技术要求中未注明需执行的国家相关标准、行业标准、地方标准或者其他标准、规范的，执行最新标准、规范。</w:t>
      </w:r>
      <w:bookmarkEnd w:id="2"/>
    </w:p>
    <w:p>
      <w:pPr>
        <w:adjustRightInd w:val="0"/>
        <w:snapToGrid w:val="0"/>
        <w:spacing w:line="288" w:lineRule="auto"/>
        <w:rPr>
          <w:rFonts w:ascii="宋体" w:hAnsi="宋体" w:cs="宋体"/>
          <w:b/>
          <w:bCs/>
          <w:sz w:val="21"/>
          <w:szCs w:val="21"/>
        </w:rPr>
      </w:pPr>
      <w:r>
        <w:rPr>
          <w:rFonts w:ascii="宋体" w:hAnsi="宋体" w:cs="宋体"/>
          <w:b/>
          <w:bCs/>
          <w:sz w:val="21"/>
          <w:szCs w:val="21"/>
        </w:rPr>
        <w:t>2</w:t>
      </w:r>
      <w:r>
        <w:rPr>
          <w:rFonts w:hint="eastAsia" w:ascii="宋体" w:hAnsi="宋体" w:cs="宋体"/>
          <w:b/>
          <w:bCs/>
          <w:sz w:val="21"/>
          <w:szCs w:val="21"/>
        </w:rPr>
        <w:t>.需实现的功能或者目标：</w:t>
      </w:r>
    </w:p>
    <w:p>
      <w:pPr>
        <w:adjustRightInd w:val="0"/>
        <w:snapToGrid w:val="0"/>
        <w:spacing w:line="288" w:lineRule="auto"/>
        <w:ind w:firstLine="211" w:firstLineChars="100"/>
        <w:rPr>
          <w:rFonts w:ascii="宋体" w:hAnsi="宋体"/>
          <w:b/>
          <w:bCs/>
          <w:sz w:val="21"/>
          <w:szCs w:val="21"/>
        </w:rPr>
      </w:pPr>
      <w:r>
        <w:rPr>
          <w:rFonts w:hint="eastAsia" w:ascii="宋体" w:hAnsi="宋体"/>
          <w:b/>
          <w:bCs/>
          <w:sz w:val="21"/>
          <w:szCs w:val="21"/>
        </w:rPr>
        <w:t>一、主要服务内容</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科创综合楼工程总建设面积约19800平方米，建设内容为科创综合楼，功能定位为新型科研机构和各类重点实验室、科研平台用房三部分，致力于打造学校未来书院示范区和数字治理样板区。项目投资估算1.25亿，工期720日历天，预计2023年11月1日开工，项目采用EPC模式。</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针对建设项目从设计到竣工验收各阶段经济管理活动的真实性、合法性、效益性进行监督和评价。具体服务内容主要包括但不限于：</w:t>
      </w:r>
    </w:p>
    <w:p>
      <w:pPr>
        <w:numPr>
          <w:ilvl w:val="255"/>
          <w:numId w:val="0"/>
        </w:numPr>
        <w:adjustRightInd w:val="0"/>
        <w:snapToGrid w:val="0"/>
        <w:spacing w:line="288" w:lineRule="auto"/>
        <w:ind w:firstLine="420" w:firstLineChars="200"/>
        <w:rPr>
          <w:rFonts w:ascii="宋体" w:hAnsi="宋体"/>
          <w:sz w:val="21"/>
          <w:szCs w:val="21"/>
        </w:rPr>
      </w:pPr>
      <w:r>
        <w:rPr>
          <w:rFonts w:hint="eastAsia" w:ascii="宋体" w:hAnsi="宋体"/>
          <w:sz w:val="21"/>
          <w:szCs w:val="21"/>
        </w:rPr>
        <w:t>1.对建设工程概算进行审计咨询（不单独编制概算，只针对建设管理部门初步定稿的概算等送审资料发表意见建议）；</w:t>
      </w:r>
    </w:p>
    <w:p>
      <w:pPr>
        <w:numPr>
          <w:ilvl w:val="255"/>
          <w:numId w:val="0"/>
        </w:numPr>
        <w:adjustRightInd w:val="0"/>
        <w:snapToGrid w:val="0"/>
        <w:spacing w:line="288" w:lineRule="auto"/>
        <w:ind w:firstLine="420" w:firstLineChars="200"/>
        <w:rPr>
          <w:rFonts w:ascii="宋体" w:hAnsi="宋体"/>
          <w:sz w:val="21"/>
          <w:szCs w:val="21"/>
        </w:rPr>
      </w:pPr>
      <w:r>
        <w:rPr>
          <w:rFonts w:hint="eastAsia" w:ascii="宋体" w:hAnsi="宋体"/>
          <w:sz w:val="21"/>
          <w:szCs w:val="21"/>
        </w:rPr>
        <w:t>2.以编清单和招标控制价的方式审核工程总承包项目清单和招标控制价；</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3.招标文件和合同的审计咨询，主要指EPC总承包单位、监理以及设备和材料采购等各种招标文件及其相应合同的审计咨询， 包括招标控制价；</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4.施工图预算审计；</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5.变更联系单的审计咨询，主要指涉及费用变动的变更联系单(包括承发包双方提出的工程索赔)均应进行审计咨询；</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6.工程进度款支付的审计咨询；</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7.隐蔽工程的审计；</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8.涉及学校建设管理部门内部控制运行的事项审计；</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9.做好竣工结算审计工作。</w:t>
      </w: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二、进度和质量要求</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（1）自收到招标文件和合同之日起，2个工作日内出具审计意见；</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（2）自收到工程投标文件之日起，3个工作日内出具审计意见；</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（3）自收到设计概算、工程量清单和控制价之日起，9个工作日内提出审计意见；</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（4）自收到工程变更估价资料之日起2个工作日内提出审计意见；</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(5）自收到进度款资料之日起3个工作日内提出审计意见；</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(6)自收到完整、有效的竣工结算资料之日起，3个月内出具竣工结算审计初稿；自收到完整的竣工结算资料之日起，6个月内出具竣工结算审计报告。</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（7）所有咨询成果文件在签发前必须经过复核程序，其中审计报告需经过三级复核。</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（8）每月工作月报于每月25日之前提交；年度工作报告于1月10日之前提交；综合审计报告于竣工验收后10个工作日内提交；以上报告的质量均需符合采购人的要求。</w:t>
      </w:r>
    </w:p>
    <w:p>
      <w:pPr>
        <w:adjustRightInd w:val="0"/>
        <w:snapToGrid w:val="0"/>
        <w:spacing w:line="288" w:lineRule="auto"/>
        <w:ind w:firstLine="422" w:firstLineChars="200"/>
        <w:rPr>
          <w:rFonts w:ascii="宋体" w:hAnsi="宋体"/>
          <w:b/>
          <w:bCs/>
          <w:sz w:val="21"/>
          <w:szCs w:val="21"/>
        </w:rPr>
      </w:pPr>
      <w:r>
        <w:rPr>
          <w:rFonts w:hint="eastAsia" w:ascii="宋体" w:hAnsi="宋体"/>
          <w:b/>
          <w:bCs/>
          <w:sz w:val="21"/>
          <w:szCs w:val="21"/>
        </w:rPr>
        <w:t>三、审计成果及过程要求</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（1）审计实施前，项目负责人需配合采购人编制跟踪审计实施方案；</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（2）审计实施过程中，投标人需编制审计意见工作底稿、每月工作月报和年度工作报告；审计期间需根据采购人需求出具审计阶段性报告；</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（3）审计终结时，投标人需出具审计综合报告；</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（4）投标人需与采购人签署《廉洁自律承诺书》。</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（5）投标人需派至少有一名人员常驻现场，驻场工作时间为开工之日起的工作日每周三次及根据现场施工需要；</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（6）投标人需参加工程例会（暂定每周一次）；</w:t>
      </w:r>
    </w:p>
    <w:p>
      <w:pPr>
        <w:adjustRightInd w:val="0"/>
        <w:snapToGrid w:val="0"/>
        <w:spacing w:line="288" w:lineRule="auto"/>
        <w:ind w:firstLine="420" w:firstLineChars="200"/>
        <w:rPr>
          <w:rFonts w:ascii="宋体" w:hAnsi="宋体"/>
          <w:sz w:val="21"/>
          <w:szCs w:val="21"/>
        </w:rPr>
      </w:pPr>
      <w:r>
        <w:rPr>
          <w:rFonts w:hint="eastAsia" w:ascii="宋体" w:hAnsi="宋体"/>
          <w:sz w:val="21"/>
          <w:szCs w:val="21"/>
        </w:rPr>
        <w:t>（7）投标人需完成采购人要求的其他审计咨询服务。</w:t>
      </w:r>
    </w:p>
    <w:p>
      <w:pPr>
        <w:adjustRightInd w:val="0"/>
        <w:snapToGrid w:val="0"/>
        <w:spacing w:line="288" w:lineRule="auto"/>
        <w:ind w:firstLine="422" w:firstLineChars="200"/>
        <w:rPr>
          <w:rStyle w:val="5"/>
        </w:rPr>
      </w:pPr>
      <w:r>
        <w:rPr>
          <w:rFonts w:hint="eastAsia" w:ascii="宋体" w:hAnsi="宋体"/>
          <w:b/>
          <w:bCs/>
          <w:sz w:val="21"/>
          <w:szCs w:val="21"/>
        </w:rPr>
        <w:t>四、需配合采购人使用工程审计数字化平台</w:t>
      </w:r>
    </w:p>
    <w:p>
      <w:pPr>
        <w:adjustRightInd w:val="0"/>
        <w:snapToGrid w:val="0"/>
        <w:spacing w:line="288" w:lineRule="auto"/>
        <w:ind w:firstLine="420" w:firstLineChars="200"/>
        <w:rPr>
          <w:rStyle w:val="5"/>
        </w:rPr>
      </w:pPr>
      <w:r>
        <w:rPr>
          <w:rStyle w:val="5"/>
          <w:rFonts w:hint="eastAsia"/>
        </w:rPr>
        <w:t xml:space="preserve">  1、全过程审计方案、跟踪审计记录（包括日志、月报）、年度工作报告、阶段性报告、综合报告等的线上操作；</w:t>
      </w:r>
    </w:p>
    <w:p>
      <w:pPr>
        <w:adjustRightInd w:val="0"/>
        <w:snapToGrid w:val="0"/>
        <w:spacing w:line="288" w:lineRule="auto"/>
        <w:ind w:firstLine="630" w:firstLineChars="300"/>
        <w:rPr>
          <w:rStyle w:val="5"/>
        </w:rPr>
      </w:pPr>
      <w:r>
        <w:rPr>
          <w:rStyle w:val="5"/>
          <w:rFonts w:hint="eastAsia"/>
        </w:rPr>
        <w:t>2、设计概算、招标文件、合同、施工图预算、变更联系单、进度款的审计意见等的线上操作；</w:t>
      </w:r>
    </w:p>
    <w:p>
      <w:pPr>
        <w:adjustRightInd w:val="0"/>
        <w:snapToGrid w:val="0"/>
        <w:spacing w:line="288" w:lineRule="auto"/>
        <w:ind w:firstLine="630" w:firstLineChars="300"/>
        <w:rPr>
          <w:rStyle w:val="5"/>
        </w:rPr>
      </w:pPr>
      <w:r>
        <w:rPr>
          <w:rStyle w:val="5"/>
          <w:rFonts w:hint="eastAsia"/>
        </w:rPr>
        <w:t>3、审计过程中的协调会会议纪要的线上操作；</w:t>
      </w:r>
    </w:p>
    <w:p>
      <w:pPr>
        <w:adjustRightInd w:val="0"/>
        <w:snapToGrid w:val="0"/>
        <w:spacing w:line="288" w:lineRule="auto"/>
        <w:ind w:firstLine="630" w:firstLineChars="300"/>
        <w:rPr>
          <w:rStyle w:val="5"/>
        </w:rPr>
      </w:pPr>
      <w:r>
        <w:rPr>
          <w:rStyle w:val="5"/>
          <w:rFonts w:hint="eastAsia"/>
        </w:rPr>
        <w:t>4、竣工结算审计的踏勘现场记录、审计初稿、审计报告等的线上操作。</w:t>
      </w:r>
    </w:p>
    <w:p>
      <w:pPr>
        <w:adjustRightInd w:val="0"/>
        <w:snapToGrid w:val="0"/>
        <w:spacing w:line="288" w:lineRule="auto"/>
        <w:ind w:firstLine="632" w:firstLineChars="300"/>
        <w:rPr>
          <w:rStyle w:val="5"/>
        </w:rPr>
      </w:pPr>
      <w:r>
        <w:rPr>
          <w:rStyle w:val="5"/>
          <w:rFonts w:hint="eastAsia"/>
          <w:b/>
          <w:bCs/>
        </w:rPr>
        <w:t>五、人员要求</w:t>
      </w:r>
    </w:p>
    <w:p>
      <w:pPr>
        <w:adjustRightInd w:val="0"/>
        <w:snapToGrid w:val="0"/>
        <w:spacing w:line="288" w:lineRule="auto"/>
        <w:ind w:firstLine="420" w:firstLineChars="200"/>
        <w:rPr>
          <w:rStyle w:val="5"/>
        </w:rPr>
      </w:pPr>
      <w:r>
        <w:rPr>
          <w:rStyle w:val="5"/>
          <w:rFonts w:hint="eastAsia"/>
        </w:rPr>
        <w:t>（1）拟派审计服务负责人应具备住建部颁发的一级造价工程师注册证书，并具有五年及以上的相关从业经历。</w:t>
      </w:r>
    </w:p>
    <w:p>
      <w:pPr>
        <w:adjustRightInd w:val="0"/>
        <w:snapToGrid w:val="0"/>
        <w:spacing w:line="288" w:lineRule="auto"/>
        <w:ind w:firstLine="420"/>
        <w:rPr>
          <w:rStyle w:val="5"/>
        </w:rPr>
      </w:pPr>
      <w:r>
        <w:rPr>
          <w:rStyle w:val="5"/>
          <w:rFonts w:hint="eastAsia"/>
        </w:rPr>
        <w:t>（2）拟派服务人员（除审计服务负责人）必须为具有从事造价咨询专业工作3年（含）以上造价咨询经验,且具备注册造价师（包含一级、二级）比例至少为50%。</w:t>
      </w:r>
    </w:p>
    <w:p>
      <w:pPr>
        <w:adjustRightInd w:val="0"/>
        <w:snapToGrid w:val="0"/>
        <w:spacing w:line="288" w:lineRule="auto"/>
        <w:ind w:firstLine="420"/>
        <w:rPr>
          <w:rStyle w:val="5"/>
          <w:b/>
          <w:bCs/>
        </w:rPr>
      </w:pPr>
      <w:r>
        <w:rPr>
          <w:rStyle w:val="5"/>
          <w:rFonts w:hint="eastAsia"/>
          <w:b/>
          <w:bCs/>
        </w:rPr>
        <w:t>六、违约处理</w:t>
      </w:r>
    </w:p>
    <w:p>
      <w:pPr>
        <w:adjustRightInd w:val="0"/>
        <w:snapToGrid w:val="0"/>
        <w:spacing w:line="288" w:lineRule="auto"/>
        <w:ind w:firstLine="630" w:firstLineChars="300"/>
        <w:rPr>
          <w:rStyle w:val="5"/>
        </w:rPr>
      </w:pPr>
      <w:r>
        <w:rPr>
          <w:rStyle w:val="5"/>
        </w:rPr>
        <w:t>1.若发现无故未按要求驻场，每次扣除</w:t>
      </w:r>
      <w:r>
        <w:rPr>
          <w:rStyle w:val="5"/>
          <w:rFonts w:hint="eastAsia"/>
        </w:rPr>
        <w:t>10</w:t>
      </w:r>
      <w:r>
        <w:rPr>
          <w:rStyle w:val="5"/>
        </w:rPr>
        <w:t>00元；</w:t>
      </w:r>
    </w:p>
    <w:p>
      <w:pPr>
        <w:adjustRightInd w:val="0"/>
        <w:snapToGrid w:val="0"/>
        <w:spacing w:line="288" w:lineRule="auto"/>
        <w:ind w:firstLine="630" w:firstLineChars="300"/>
        <w:rPr>
          <w:rStyle w:val="5"/>
        </w:rPr>
      </w:pPr>
      <w:r>
        <w:rPr>
          <w:rStyle w:val="5"/>
        </w:rPr>
        <w:t>2.若发现未经委托人书面同意擅自更换审计服务人员，每次扣3000元；</w:t>
      </w:r>
    </w:p>
    <w:p>
      <w:pPr>
        <w:adjustRightInd w:val="0"/>
        <w:snapToGrid w:val="0"/>
        <w:spacing w:line="288" w:lineRule="auto"/>
        <w:ind w:firstLine="630" w:firstLineChars="300"/>
        <w:rPr>
          <w:rStyle w:val="5"/>
        </w:rPr>
      </w:pPr>
      <w:r>
        <w:rPr>
          <w:rStyle w:val="5"/>
        </w:rPr>
        <w:t>3.若发现未按工作进度完成，每次扣除1000元。</w:t>
      </w:r>
    </w:p>
    <w:p>
      <w:pPr>
        <w:adjustRightInd w:val="0"/>
        <w:snapToGrid w:val="0"/>
        <w:spacing w:line="288" w:lineRule="auto"/>
        <w:ind w:firstLine="630" w:firstLineChars="300"/>
        <w:rPr>
          <w:rStyle w:val="5"/>
        </w:rPr>
      </w:pPr>
      <w:r>
        <w:rPr>
          <w:rStyle w:val="5"/>
        </w:rPr>
        <w:t>4.若发现出现重大质量失误，每次扣除</w:t>
      </w:r>
      <w:r>
        <w:rPr>
          <w:rStyle w:val="5"/>
          <w:rFonts w:hint="eastAsia"/>
        </w:rPr>
        <w:t>10</w:t>
      </w:r>
      <w:r>
        <w:rPr>
          <w:rStyle w:val="5"/>
        </w:rPr>
        <w:t>000元。</w:t>
      </w:r>
    </w:p>
    <w:p>
      <w:pPr>
        <w:adjustRightInd w:val="0"/>
        <w:snapToGrid w:val="0"/>
        <w:spacing w:line="288" w:lineRule="auto"/>
        <w:ind w:firstLine="630" w:firstLineChars="300"/>
        <w:rPr>
          <w:rStyle w:val="5"/>
        </w:rPr>
      </w:pPr>
      <w:r>
        <w:rPr>
          <w:rStyle w:val="5"/>
          <w:rFonts w:hint="eastAsia"/>
        </w:rPr>
        <w:t>5</w:t>
      </w:r>
      <w:r>
        <w:rPr>
          <w:rStyle w:val="5"/>
        </w:rPr>
        <w:t>.若</w:t>
      </w:r>
      <w:r>
        <w:rPr>
          <w:rStyle w:val="5"/>
          <w:rFonts w:hint="eastAsia"/>
        </w:rPr>
        <w:t>工作月报、年度工作报告、审计阶段性报告、综合审计报告等报告撰写质量不符合采购人要求，返回修改超过3次的</w:t>
      </w:r>
      <w:r>
        <w:rPr>
          <w:rStyle w:val="5"/>
        </w:rPr>
        <w:t>，</w:t>
      </w:r>
      <w:r>
        <w:rPr>
          <w:rStyle w:val="5"/>
          <w:rFonts w:hint="eastAsia"/>
        </w:rPr>
        <w:t>超出的次数按</w:t>
      </w:r>
      <w:r>
        <w:rPr>
          <w:rStyle w:val="5"/>
        </w:rPr>
        <w:t>每次扣除500元。</w:t>
      </w:r>
    </w:p>
    <w:p>
      <w:pPr>
        <w:adjustRightInd w:val="0"/>
        <w:snapToGrid w:val="0"/>
        <w:spacing w:line="288" w:lineRule="auto"/>
        <w:ind w:firstLine="420"/>
        <w:rPr>
          <w:rStyle w:val="5"/>
          <w:b/>
          <w:bCs/>
        </w:rPr>
      </w:pPr>
      <w:r>
        <w:rPr>
          <w:rStyle w:val="5"/>
          <w:b/>
          <w:bCs/>
        </w:rPr>
        <w:t>七、其他</w:t>
      </w:r>
    </w:p>
    <w:p>
      <w:pPr>
        <w:adjustRightInd w:val="0"/>
        <w:snapToGrid w:val="0"/>
        <w:spacing w:line="288" w:lineRule="auto"/>
        <w:ind w:firstLine="630" w:firstLineChars="300"/>
        <w:rPr>
          <w:rStyle w:val="5"/>
        </w:rPr>
      </w:pPr>
      <w:r>
        <w:rPr>
          <w:rStyle w:val="5"/>
        </w:rPr>
        <w:t>▲为</w:t>
      </w:r>
      <w:r>
        <w:rPr>
          <w:rStyle w:val="5"/>
          <w:rFonts w:hint="eastAsia"/>
        </w:rPr>
        <w:t>采购人</w:t>
      </w:r>
      <w:r>
        <w:rPr>
          <w:rFonts w:hint="eastAsia" w:ascii="宋体" w:hAnsi="宋体"/>
          <w:sz w:val="21"/>
          <w:szCs w:val="21"/>
        </w:rPr>
        <w:t>科创综合楼工程</w:t>
      </w:r>
      <w:r>
        <w:rPr>
          <w:rStyle w:val="5"/>
        </w:rPr>
        <w:t>项目提供</w:t>
      </w:r>
      <w:r>
        <w:rPr>
          <w:rStyle w:val="5"/>
          <w:rFonts w:hint="eastAsia"/>
        </w:rPr>
        <w:t>造价咨询</w:t>
      </w:r>
      <w:r>
        <w:rPr>
          <w:rStyle w:val="5"/>
        </w:rPr>
        <w:t>服务的</w:t>
      </w:r>
      <w:r>
        <w:rPr>
          <w:rStyle w:val="5"/>
          <w:rFonts w:hint="eastAsia"/>
        </w:rPr>
        <w:t>单位</w:t>
      </w:r>
      <w:r>
        <w:rPr>
          <w:rStyle w:val="5"/>
        </w:rPr>
        <w:t>不得再参加本项目</w:t>
      </w:r>
      <w:r>
        <w:rPr>
          <w:rStyle w:val="5"/>
          <w:rFonts w:hint="eastAsia"/>
        </w:rPr>
        <w:t>采购活动</w:t>
      </w:r>
      <w:r>
        <w:rPr>
          <w:rStyle w:val="5"/>
        </w:rPr>
        <w:t>。</w:t>
      </w: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5NmE3Zjc2YjhlM2EyNmZlNjdjM2VjZGM0YmQzMjAifQ=="/>
  </w:docVars>
  <w:rsids>
    <w:rsidRoot w:val="527E26E5"/>
    <w:rsid w:val="527E2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style>
  <w:style w:type="character" w:styleId="5">
    <w:name w:val="annotation reference"/>
    <w:unhideWhenUsed/>
    <w:qFormat/>
    <w:uiPriority w:val="99"/>
    <w:rPr>
      <w:sz w:val="21"/>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2023-03-16T06:16:00Z</dcterms:created>
  <dc:creator>qszbrenshixingzheng</dc:creator>
  <lastModifiedBy>qszbrenshixingzheng</lastModifiedBy>
  <dcterms:modified xsi:type="dcterms:W3CDTF">2023-03-16T06:16:35Z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AC40BE5680FC4F94A5C1AF7DB93EE24A</vt:lpwstr>
  </property>
</Properties>
</file>