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允许采购进口产品</w:t>
            </w:r>
          </w:p>
        </w:tc>
      </w:tr>
    </w:tbl>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ind w:firstLine="422" w:firstLineChars="200"/>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质保期内无质量问题和维护问题，质保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合同签订免税资格后60日内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12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24</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化学发光式分析仪</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269" w:type="dxa"/>
            <w:vAlign w:val="center"/>
          </w:tcPr>
          <w:p>
            <w:pPr>
              <w:numPr>
                <w:ilvl w:val="0"/>
                <w:numId w:val="1"/>
              </w:numPr>
              <w:adjustRightInd w:val="0"/>
              <w:snapToGrid w:val="0"/>
              <w:spacing w:line="288" w:lineRule="auto"/>
              <w:jc w:val="left"/>
              <w:rPr>
                <w:rFonts w:ascii="宋体" w:hAnsi="宋体" w:cs="宋体"/>
                <w:sz w:val="21"/>
                <w:szCs w:val="21"/>
              </w:rPr>
            </w:pPr>
            <w:r>
              <w:rPr>
                <w:rFonts w:hint="eastAsia" w:ascii="宋体" w:hAnsi="宋体" w:cs="宋体"/>
                <w:sz w:val="21"/>
                <w:szCs w:val="21"/>
              </w:rPr>
              <w:t>硬件性能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1.1★功能涵盖：化学发光，光密度成像，荧光成像，Stain-Free免染成像等，应用范围包括但不仅限为：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-核酸凝胶：Ethidium bromide、SYBR® Green、SYBR® Safe、SYBR® Gold、GelGreen™、GelRed™、Fast Blast™、Texas Red、Fluorescein、Oligreen、Picogreen、GelStar</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-蛋白凝胶：Coomassie Blue、Copper stain、Zinc stain、Flamingo、Oriole、Silver stain、Coomassie Fluor Orange、SYPRO Ruby、Krypton</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-印迹膜：Chemiluminescent、Colorimetric、SYPRO Ruby、Coomassie Fluor Orange、Alexa Fluor 488、DyLight 488、Qdot 525、Qdot 565、Qdot 625。</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1.2★CCD检测器：芯片性能增强型CCD检测器，分辨率不低于6.1M pixel（2,758x2,208）</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1.3CCD经冷却至绝对温度（-25℃），冷却系统：Peltier</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1.4★425nm处绝对Q/E（光电转化率）值：70％，绝对Q/E峰值：75%@525nm</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1.5★CCD暗电流：0.002 e/p/s；CCD读出噪音：6 e-rms，提供弱光成像所需</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1.6使用f/0.95快速对焦镜头，提高进光量的同时完成自动聚焦</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1.7★自动优化曝光功能，所有成像过程均保持自动对焦</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1.816bit数据采集（65,536灰度级，4.8OD），所有样品动力学范围&gt;4个数量级</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1.9智能样品托盘技术，自动识别插入的样品盘类型，选择成像功能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1.10三种样品托盘设计：Chemi/UV/Stain-Free样品盘（化学发光、紫外和免染样品成像）；白光样品盘（将透射紫外转换为透射白光，考染、银染及其他蛋白成像）；选配蓝光样品盘（SYBR®等荧光染料）</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1.11光源：反射白光，透射紫外，透射白光，透射蓝光（可选）</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1.12★滤光片转轮位置：8位（5色荧光、标准滤光片、平场校正、化学发光）</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1.13紫外光源：302nm</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1.14★最大成像面积 ≥16.8 x 21 cm</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1.15≥12.1英寸触摸屏控制，支持多点触控功能（4点）</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1.16UV防护板：方便直接用紫外平台进行样品肉眼观察或切胶</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1.17★自预置两种自动曝光模式（快速、最优），手动曝光模式，累积曝光模式，预览模式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1.18★化学放光曝光模式下Binning值5档可调</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1.19★曝光时间：最短0.001s，每0.001s步进</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1.20数据传输：USB及局域网</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1.21累积曝光多次成像：可以在很长曝光时间内多次成像，且每次成像的曝光时间可以累积，从而避免反复曝光，而且用户可以挑选最中意的图像保存。</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1.22★StainFree成像功能：可以实现样品蛋白质条带电泳结束之后直接成像，无需固定、染色和脱色</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1.23★后期可在客户端现场升级成五色（红、绿、蓝、远红光、近红外）通道荧光，包含：</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（1）五色LED激发光源：蓝光通道激发光460–490 nm、绿光通道激发光520–545 nm、红光通道激发光625–650 nm、远红光通道激发光650–675 nm、近红外光通道激发光755–777 nm；</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（2）滤光片：基础滤光片590/110 nm、蓝光通道滤光片518–546 nm、绿光通道滤光片577–613 nm、红光通道滤光片675–725 nm、远红光通道滤光片700–730 nm、近红外光通道滤光片813–860 nm</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2、软件功能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2.1全自动专业成像及分析软件对系统进行自动控制，包括采集、优化、定量、分析图像及报告输出。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2.2★具有两套软件：专业成像软件和数据分析软件</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2.3软件可编程，所编程序可重复调用或再编辑</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2.4★软件可自由安装于多台电脑，同时分析</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2.5化学发光时间梯度功能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2.6显示过饱和像素保证精确定量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2.7添加各种格式的文字注释</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2.8自动条带检测，自动分子量测算，自动条带浓度测算</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2.9相对含量百分数分析</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2.10绝对浓度、密度计算</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2.11图像观察及输出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2.12 12种预设染料颜色标记显示及输出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2.13多幅图像合并显示并分析功能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2.14报告输出：包括图像仪名称、仪器序列号、使用者姓名、成像时间、光源名称、滤光片名称、泳道图示、条带标注等</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2.15图像输出格式：.tif、.bmp、.png、.jpg、.mscn</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2.16数据输出方式：剪贴板输出、数据库输出、Excel表格式输出、PDF输出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2.17配有软件操作指南flash</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2.18软件免费升级</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2.19★中文版软件、英文版软件，并且可以自由切换</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3.配置要求</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3.1主机一台（带大屏幕触摸屏，无需电脑操作）</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3.2UV防护板</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42D1F"/>
    <w:multiLevelType w:val="singleLevel"/>
    <w:tmpl w:val="F9B42D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83840"/>
    <w:rsid w:val="6F58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2021-11-05T09:34:00Z</dcterms:created>
  <dc:creator>amander</dc:creator>
  <lastModifiedBy>amander</lastModifiedBy>
  <dcterms:modified xsi:type="dcterms:W3CDTF">2021-11-05T09:35:02Z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9EF87D15DBF940BC8F3D2C45273A3B73</vt:lpwstr>
  </property>
</Properties>
</file>