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采购标的对应的中小企业划分标准所属行业：工业</w:t>
      </w:r>
    </w:p>
    <w:p>
      <w:pPr>
        <w:adjustRightInd w:val="0"/>
        <w:snapToGrid w:val="0"/>
        <w:spacing w:line="288" w:lineRule="auto"/>
        <w:rPr>
          <w:rFonts w:ascii="宋体" w:hAnsi="宋体"/>
          <w:sz w:val="21"/>
          <w:szCs w:val="21"/>
        </w:rPr>
      </w:pPr>
      <w:r>
        <w:rPr>
          <w:rFonts w:hint="eastAsia" w:ascii="宋体" w:hAnsi="宋体"/>
          <w:b/>
          <w:bCs/>
          <w:sz w:val="21"/>
          <w:szCs w:val="21"/>
        </w:rPr>
        <w:t>中小企业划型标准：</w:t>
      </w:r>
      <w:r>
        <w:rPr>
          <w:rFonts w:hint="eastAsia" w:ascii="宋体" w:hAnsi="宋体"/>
          <w:sz w:val="21"/>
          <w:szCs w:val="21"/>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outlineLvl w:val="1"/>
        <w:rPr>
          <w:rFonts w:ascii="宋体" w:hAnsi="宋体"/>
          <w:b/>
          <w:sz w:val="21"/>
          <w:szCs w:val="21"/>
          <w:highlight w:val="yellow"/>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sz w:val="21"/>
                <w:szCs w:val="21"/>
              </w:rPr>
              <w:t>采购合同签订后且中标人已提交履约保证金的，采购人向中标人支付合同总价的</w:t>
            </w:r>
            <w:r>
              <w:rPr>
                <w:rFonts w:ascii="宋体" w:hAnsi="宋体" w:cs="宋体"/>
                <w:spacing w:val="-6"/>
                <w:sz w:val="21"/>
                <w:szCs w:val="21"/>
              </w:rPr>
              <w:t>30</w:t>
            </w:r>
            <w:r>
              <w:rPr>
                <w:rFonts w:hint="eastAsia" w:ascii="宋体" w:hAnsi="宋体" w:cs="宋体"/>
                <w:spacing w:val="-6"/>
                <w:sz w:val="21"/>
                <w:szCs w:val="21"/>
              </w:rPr>
              <w:t>%；货物送达指定地点，经采购人验收合格，自收到中标人开具的发票后5个工作日内支付合同总价的</w:t>
            </w:r>
            <w:r>
              <w:rPr>
                <w:rFonts w:ascii="宋体" w:hAnsi="宋体" w:cs="宋体"/>
                <w:spacing w:val="-6"/>
                <w:sz w:val="21"/>
                <w:szCs w:val="21"/>
              </w:rPr>
              <w:t>70</w:t>
            </w:r>
            <w:r>
              <w:rPr>
                <w:rFonts w:hint="eastAsia" w:ascii="宋体" w:hAnsi="宋体" w:cs="宋体"/>
                <w:spacing w:val="-6"/>
                <w:sz w:val="21"/>
                <w:szCs w:val="21"/>
              </w:rPr>
              <w:t>%，逾期支付货款的，自逾期之日起，向中标人每日偿付未付价款0.05%的滞纳金。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合同签订后</w:t>
            </w:r>
            <w:r>
              <w:rPr>
                <w:rFonts w:ascii="宋体" w:hAnsi="宋体" w:cs="宋体"/>
                <w:sz w:val="21"/>
                <w:szCs w:val="21"/>
              </w:rPr>
              <w:t>30</w:t>
            </w:r>
            <w:r>
              <w:rPr>
                <w:rFonts w:hint="eastAsia" w:ascii="宋体" w:hAnsi="宋体" w:cs="宋体"/>
                <w:sz w:val="21"/>
                <w:szCs w:val="21"/>
              </w:rPr>
              <w:t>日内供货，并于1个月内完成安装调试工作。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从验收报告签署之日起，质保期为12个月。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.在质保期内，供应商应对货物出现的质量及安全问题负责处理解决并承担一切费用。质保期内，供应商应在收到故障设备和部件一个月内将更换或修理好的故障设备和部件寄还采购人。</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质保期满后，供应商需继续提供收费的设备维修、配件供应、技术支持、产品升级服务，内容和保修期内完全一致。</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应商对设备提供长期的技术支持。为了保证高效率的技术支持，对于软硬件基本使用及基本故障问题，采购人可直接与供应商沟通，供应商通过电话、传真以及电子邮件方式提供24小时技术服务，在采购人提出要求后，供应商随时提供现场的技术指导和交流。在设备发生故障的情况下, 承诺在72小时内赶赴现场排除故障或者提出解决方案。</w:t>
            </w:r>
          </w:p>
          <w:p>
            <w:pPr>
              <w:adjustRightInd w:val="0"/>
              <w:snapToGrid w:val="0"/>
              <w:spacing w:line="288" w:lineRule="auto"/>
              <w:rPr>
                <w:rFonts w:ascii="宋体" w:hAnsi="宋体" w:cs="宋体"/>
                <w:sz w:val="21"/>
                <w:szCs w:val="21"/>
              </w:rPr>
            </w:pPr>
            <w:r>
              <w:rPr>
                <w:rFonts w:hint="eastAsia" w:ascii="宋体" w:hAnsi="宋体" w:cs="宋体"/>
                <w:sz w:val="21"/>
                <w:szCs w:val="21"/>
              </w:rPr>
              <w:t>供应商须将常见故障现象、故障原因及修复方法等形成书面报告交供应商存档备查。</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spacing w:val="-6"/>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pPr>
        <w:adjustRightInd w:val="0"/>
        <w:snapToGrid w:val="0"/>
        <w:spacing w:line="288" w:lineRule="auto"/>
        <w:rPr>
          <w:rFonts w:ascii="宋体" w:hAnsi="宋体"/>
          <w:b/>
          <w:bCs/>
          <w:spacing w:val="-4"/>
          <w:sz w:val="21"/>
          <w:szCs w:val="21"/>
        </w:rPr>
      </w:pPr>
      <w:r>
        <w:rPr>
          <w:rFonts w:ascii="宋体" w:hAnsi="宋体"/>
          <w:b/>
          <w:bCs/>
          <w:spacing w:val="-4"/>
          <w:sz w:val="21"/>
          <w:szCs w:val="21"/>
        </w:rPr>
        <w:t>2.</w:t>
      </w:r>
      <w:r>
        <w:rPr>
          <w:rFonts w:hint="eastAsia" w:ascii="宋体" w:hAnsi="宋体"/>
          <w:b/>
          <w:bCs/>
          <w:spacing w:val="-4"/>
          <w:sz w:val="21"/>
          <w:szCs w:val="21"/>
        </w:rPr>
        <w:t>需满足的质量、安全、技术规格、物理特性等要求：</w:t>
      </w:r>
    </w:p>
    <w:p>
      <w:pPr>
        <w:adjustRightInd w:val="0"/>
        <w:snapToGrid w:val="0"/>
        <w:spacing w:line="288" w:lineRule="auto"/>
        <w:rPr>
          <w:rFonts w:ascii="宋体" w:hAnsi="宋体"/>
          <w:b/>
          <w:bCs/>
          <w:spacing w:val="-4"/>
          <w:sz w:val="21"/>
          <w:szCs w:val="21"/>
        </w:rPr>
      </w:pPr>
      <w:r>
        <w:rPr>
          <w:rFonts w:hint="eastAsia" w:ascii="宋体" w:hAnsi="宋体"/>
          <w:b/>
          <w:bCs/>
          <w:sz w:val="21"/>
          <w:szCs w:val="21"/>
        </w:rPr>
        <w:t>实时仿真器控制台包括以下内容</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810"/>
        <w:gridCol w:w="661"/>
        <w:gridCol w:w="661"/>
        <w:gridCol w:w="6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810"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661"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26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功能、质量、安全、技术规格、物理特性等要求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1810"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多功能模拟量输入模块</w:t>
            </w:r>
          </w:p>
        </w:tc>
        <w:tc>
          <w:tcPr>
            <w:tcW w:w="661" w:type="dxa"/>
            <w:vAlign w:val="center"/>
          </w:tcPr>
          <w:p>
            <w:pPr>
              <w:adjustRightInd w:val="0"/>
              <w:snapToGrid w:val="0"/>
              <w:spacing w:line="288" w:lineRule="auto"/>
              <w:jc w:val="center"/>
              <w:rPr>
                <w:rFonts w:ascii="宋体" w:hAnsi="宋体" w:cs="宋体"/>
                <w:sz w:val="21"/>
                <w:szCs w:val="21"/>
              </w:rPr>
            </w:pPr>
            <w:r>
              <w:rPr>
                <w:rFonts w:ascii="宋体" w:hAnsi="宋体" w:cs="宋体"/>
                <w:sz w:val="21"/>
                <w:szCs w:val="21"/>
              </w:rPr>
              <w:t>1</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台</w:t>
            </w:r>
          </w:p>
        </w:tc>
        <w:tc>
          <w:tcPr>
            <w:tcW w:w="626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多功能模拟量输入及调理模块，16通道，16位精度，所有通道同步采样，最大采样频率500KS/S, 最小转换时间2.5微妙，支持插值步长算法和状态空间节点法等驱动，</w:t>
            </w:r>
            <w:r>
              <w:rPr>
                <w:rFonts w:hint="eastAsia" w:ascii="Sylfaen" w:hAnsi="Sylfaen" w:cs="宋体"/>
                <w:kern w:val="0"/>
                <w:sz w:val="20"/>
                <w:szCs w:val="20"/>
              </w:rPr>
              <w:t>支持RT</w:t>
            </w:r>
            <w:r>
              <w:rPr>
                <w:rFonts w:ascii="Sylfaen" w:hAnsi="Sylfaen" w:cs="宋体"/>
                <w:kern w:val="0"/>
                <w:sz w:val="20"/>
                <w:szCs w:val="20"/>
              </w:rPr>
              <w:t>-</w:t>
            </w:r>
            <w:r>
              <w:rPr>
                <w:rFonts w:hint="eastAsia" w:ascii="Sylfaen" w:hAnsi="Sylfaen" w:cs="宋体"/>
                <w:kern w:val="0"/>
                <w:sz w:val="20"/>
                <w:szCs w:val="20"/>
              </w:rPr>
              <w:t>LAB仿真器硬件。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2</w:t>
            </w:r>
          </w:p>
        </w:tc>
        <w:tc>
          <w:tcPr>
            <w:tcW w:w="1810"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多功能模拟量输出模块</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4</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台</w:t>
            </w:r>
          </w:p>
        </w:tc>
        <w:tc>
          <w:tcPr>
            <w:tcW w:w="626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多功能数字量输入及调理模块，32通道带时标的数字量或者PWM 输入及调理模块，光隔离，4伏至50伏，支持插值步长算法和状态空间节点法等驱动，</w:t>
            </w:r>
            <w:r>
              <w:rPr>
                <w:rFonts w:hint="eastAsia" w:ascii="Sylfaen" w:hAnsi="Sylfaen" w:cs="宋体"/>
                <w:kern w:val="0"/>
                <w:sz w:val="20"/>
                <w:szCs w:val="20"/>
              </w:rPr>
              <w:t>支持RT</w:t>
            </w:r>
            <w:r>
              <w:rPr>
                <w:rFonts w:ascii="Sylfaen" w:hAnsi="Sylfaen" w:cs="宋体"/>
                <w:kern w:val="0"/>
                <w:sz w:val="20"/>
                <w:szCs w:val="20"/>
              </w:rPr>
              <w:t>-</w:t>
            </w:r>
            <w:r>
              <w:rPr>
                <w:rFonts w:hint="eastAsia" w:ascii="Sylfaen" w:hAnsi="Sylfaen" w:cs="宋体"/>
                <w:kern w:val="0"/>
                <w:sz w:val="20"/>
                <w:szCs w:val="20"/>
              </w:rPr>
              <w:t>LAB仿真器硬件。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3</w:t>
            </w:r>
          </w:p>
        </w:tc>
        <w:tc>
          <w:tcPr>
            <w:tcW w:w="1810"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多功能数字量输入模块</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2</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台</w:t>
            </w:r>
          </w:p>
        </w:tc>
        <w:tc>
          <w:tcPr>
            <w:tcW w:w="626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多功能数字量输入及调理模块，32通道带时标的数字量或者PWM 输入及调理模块，光隔离，4伏至50伏，支持插值步长算法和状态空间节点法等驱动，</w:t>
            </w:r>
            <w:r>
              <w:rPr>
                <w:rFonts w:hint="eastAsia" w:ascii="Sylfaen" w:hAnsi="Sylfaen" w:cs="宋体"/>
                <w:kern w:val="0"/>
                <w:sz w:val="20"/>
                <w:szCs w:val="20"/>
              </w:rPr>
              <w:t>支持RT</w:t>
            </w:r>
            <w:r>
              <w:rPr>
                <w:rFonts w:ascii="Sylfaen" w:hAnsi="Sylfaen" w:cs="宋体"/>
                <w:kern w:val="0"/>
                <w:sz w:val="20"/>
                <w:szCs w:val="20"/>
              </w:rPr>
              <w:t>-</w:t>
            </w:r>
            <w:r>
              <w:rPr>
                <w:rFonts w:hint="eastAsia" w:ascii="Sylfaen" w:hAnsi="Sylfaen" w:cs="宋体"/>
                <w:kern w:val="0"/>
                <w:sz w:val="20"/>
                <w:szCs w:val="20"/>
              </w:rPr>
              <w:t>LAB仿真器硬件。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4</w:t>
            </w:r>
          </w:p>
        </w:tc>
        <w:tc>
          <w:tcPr>
            <w:tcW w:w="1810"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多功能数字量输出模块</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台</w:t>
            </w:r>
          </w:p>
        </w:tc>
        <w:tc>
          <w:tcPr>
            <w:tcW w:w="626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多功能数字量输出及调理模块，32通道带时标的数字量或者PWM 输出及调理模块，光隔离，5伏至30伏，支持插值步长算法和状态空间节点法等驱动，</w:t>
            </w:r>
            <w:r>
              <w:rPr>
                <w:rFonts w:hint="eastAsia" w:ascii="Sylfaen" w:hAnsi="Sylfaen" w:cs="宋体"/>
                <w:kern w:val="0"/>
                <w:sz w:val="20"/>
                <w:szCs w:val="20"/>
              </w:rPr>
              <w:t>支持RT</w:t>
            </w:r>
            <w:r>
              <w:rPr>
                <w:rFonts w:ascii="Sylfaen" w:hAnsi="Sylfaen" w:cs="宋体"/>
                <w:kern w:val="0"/>
                <w:sz w:val="20"/>
                <w:szCs w:val="20"/>
              </w:rPr>
              <w:t>-</w:t>
            </w:r>
            <w:r>
              <w:rPr>
                <w:rFonts w:hint="eastAsia" w:ascii="Sylfaen" w:hAnsi="Sylfaen" w:cs="宋体"/>
                <w:kern w:val="0"/>
                <w:sz w:val="20"/>
                <w:szCs w:val="20"/>
              </w:rPr>
              <w:t>LAB仿真器硬件。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5</w:t>
            </w:r>
          </w:p>
        </w:tc>
        <w:tc>
          <w:tcPr>
            <w:tcW w:w="1810"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信号连接模块</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0</w:t>
            </w:r>
          </w:p>
        </w:tc>
        <w:tc>
          <w:tcPr>
            <w:tcW w:w="661"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台</w:t>
            </w:r>
          </w:p>
        </w:tc>
        <w:tc>
          <w:tcPr>
            <w:tcW w:w="626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37针终端信号连接模块</w:t>
            </w:r>
            <w:r>
              <w:rPr>
                <w:rFonts w:hint="eastAsia" w:ascii="Sylfaen" w:hAnsi="Sylfaen" w:cs="宋体"/>
                <w:kern w:val="0"/>
                <w:sz w:val="20"/>
                <w:szCs w:val="20"/>
              </w:rPr>
              <w:t>。</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lfaen">
    <w:panose1 w:val="010A0502050306030303"/>
    <w:charset w:val="00"/>
    <w:family w:val="roman"/>
    <w:pitch w:val="default"/>
    <w:sig w:usb0="040006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962F5"/>
    <w:rsid w:val="6BC96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2021-11-11T09:05:00Z</dcterms:created>
  <dc:creator>amander</dc:creator>
  <lastModifiedBy>amander</lastModifiedBy>
  <dcterms:modified xsi:type="dcterms:W3CDTF">2021-11-11T09:05:22Z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643FF0AB1A394221AF35D516CEC50733</vt:lpwstr>
  </property>
</Properties>
</file>