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bCs/>
                <w:sz w:val="21"/>
                <w:szCs w:val="21"/>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1</w:t>
            </w:r>
            <w:r>
              <w:rPr>
                <w:rFonts w:hint="eastAsia" w:ascii="宋体" w:hAnsi="宋体" w:cs="宋体"/>
                <w:spacing w:val="-6"/>
                <w:kern w:val="0"/>
                <w:sz w:val="21"/>
                <w:szCs w:val="21"/>
              </w:rPr>
              <w:t>%</w:t>
            </w:r>
            <w:r>
              <w:rPr>
                <w:rFonts w:ascii="宋体" w:hAnsi="宋体" w:cs="宋体"/>
                <w:spacing w:val="-6"/>
                <w:kern w:val="0"/>
                <w:sz w:val="21"/>
                <w:szCs w:val="21"/>
              </w:rPr>
              <w:t xml:space="preserve"> </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ascii="宋体" w:hAnsi="宋体"/>
                <w:b/>
                <w:bCs/>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合同生效以及具备实施条件后7个工作日内，采购人向供应商支付合同总价的40%；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项目履约完成，经采购人验收合格后，收到发票后7个工作日内，采购人向供应商支付合同总价的60%。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jc w:val="left"/>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w:t>
            </w:r>
            <w:r>
              <w:rPr>
                <w:rFonts w:ascii="宋体" w:hAnsi="宋体"/>
                <w:sz w:val="21"/>
                <w:szCs w:val="21"/>
              </w:rPr>
              <w:t>1</w:t>
            </w:r>
            <w:r>
              <w:rPr>
                <w:rFonts w:hint="eastAsia" w:ascii="宋体" w:hAnsi="宋体"/>
                <w:sz w:val="21"/>
                <w:szCs w:val="21"/>
              </w:rPr>
              <w:t>个月内交付完成。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年，系统最终验收合格后开始计算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 xml:space="preserve">电话技术支持时间： </w:t>
            </w:r>
            <w:r>
              <w:rPr>
                <w:rFonts w:ascii="宋体" w:hAnsi="宋体" w:cs="宋体"/>
                <w:sz w:val="21"/>
                <w:szCs w:val="21"/>
                <w:u w:val="single"/>
              </w:rPr>
              <w:t>1</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rPr>
            </w:pPr>
            <w:r>
              <w:rPr>
                <w:rFonts w:hint="eastAsia" w:ascii="宋体" w:hAnsi="宋体" w:cs="宋体"/>
                <w:sz w:val="21"/>
                <w:szCs w:val="21"/>
                <w:u w:val="single"/>
              </w:rPr>
              <w:t xml:space="preserve">若需上门维修，则在： </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三、项目技术要求</w:t>
      </w:r>
    </w:p>
    <w:p>
      <w:pPr>
        <w:adjustRightInd w:val="0"/>
        <w:snapToGrid w:val="0"/>
        <w:spacing w:line="288" w:lineRule="auto"/>
        <w:ind w:firstLine="422" w:firstLineChars="200"/>
        <w:rPr>
          <w:rFonts w:ascii="宋体" w:hAnsi="宋体" w:cs="宋体"/>
          <w:sz w:val="21"/>
          <w:szCs w:val="21"/>
        </w:rPr>
      </w:pPr>
      <w:r>
        <w:rPr>
          <w:rFonts w:hint="eastAsia" w:ascii="宋体" w:hAnsi="宋体" w:cs="宋体"/>
          <w:b/>
          <w:bCs/>
          <w:sz w:val="21"/>
          <w:szCs w:val="21"/>
        </w:rPr>
        <w:t>需执行的国家相关标准、行业标准、地方标准或者其他标准、规范：</w:t>
      </w:r>
      <w:bookmarkStart w:id="0" w:name="_Hlk94018176"/>
      <w:r>
        <w:rPr>
          <w:rFonts w:hint="eastAsia" w:ascii="宋体" w:hAnsi="宋体" w:cs="宋体"/>
          <w:sz w:val="21"/>
          <w:szCs w:val="21"/>
        </w:rPr>
        <w:t>如技术要求中未注明需执行的国家相关标准、行业标准、地方标准或者其他标准、规范的，执行最新标准、规范。</w:t>
      </w:r>
      <w:bookmarkEnd w:id="0"/>
    </w:p>
    <w:p>
      <w:pPr>
        <w:adjustRightInd w:val="0"/>
        <w:snapToGrid w:val="0"/>
        <w:spacing w:line="276" w:lineRule="auto"/>
        <w:ind w:firstLine="422" w:firstLineChars="200"/>
        <w:rPr>
          <w:rFonts w:ascii="宋体" w:hAnsi="宋体" w:cs="仿宋"/>
          <w:snapToGrid w:val="0"/>
          <w:kern w:val="0"/>
          <w:sz w:val="21"/>
          <w:szCs w:val="21"/>
        </w:rPr>
      </w:pPr>
      <w:r>
        <w:rPr>
          <w:rFonts w:hint="eastAsia" w:ascii="宋体" w:hAnsi="宋体" w:cs="宋体"/>
          <w:b/>
          <w:bCs/>
          <w:sz w:val="21"/>
          <w:szCs w:val="21"/>
        </w:rPr>
        <w:t>主要功能：</w:t>
      </w:r>
      <w:r>
        <w:rPr>
          <w:rFonts w:hint="eastAsia" w:ascii="宋体" w:hAnsi="宋体" w:cs="仿宋"/>
          <w:snapToGrid w:val="0"/>
          <w:kern w:val="0"/>
          <w:sz w:val="21"/>
          <w:szCs w:val="21"/>
        </w:rPr>
        <w:t>检测成孔质（槽）量，包括成孔孔径（槽宽）、成孔（槽）垂直度、成孔（槽）底部沉渣厚度等。</w:t>
      </w:r>
    </w:p>
    <w:p>
      <w:pPr>
        <w:adjustRightInd w:val="0"/>
        <w:snapToGrid w:val="0"/>
        <w:spacing w:line="276" w:lineRule="auto"/>
        <w:ind w:firstLine="422" w:firstLineChars="200"/>
        <w:rPr>
          <w:rFonts w:ascii="宋体" w:hAnsi="宋体"/>
          <w:sz w:val="21"/>
          <w:szCs w:val="21"/>
        </w:rPr>
      </w:pPr>
      <w:r>
        <w:rPr>
          <w:rFonts w:hint="eastAsia" w:ascii="宋体" w:hAnsi="宋体"/>
          <w:b/>
          <w:bCs/>
          <w:sz w:val="21"/>
          <w:szCs w:val="21"/>
        </w:rPr>
        <w:t>应用范围:</w:t>
      </w:r>
      <w:r>
        <w:rPr>
          <w:rFonts w:hint="eastAsia" w:ascii="宋体" w:hAnsi="宋体" w:cs="仿宋"/>
          <w:snapToGrid w:val="0"/>
          <w:kern w:val="0"/>
          <w:sz w:val="21"/>
          <w:szCs w:val="21"/>
        </w:rPr>
        <w:t xml:space="preserve"> 铁路、公路、水运、市政、建工等施工及检测领域，对成孔孔径（槽宽）、成孔（槽）垂直度、成孔（槽）底部沉渣厚度进行检测.</w:t>
      </w:r>
    </w:p>
    <w:tbl>
      <w:tblPr>
        <w:tblStyle w:val="2"/>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09"/>
        <w:gridCol w:w="709"/>
        <w:gridCol w:w="709"/>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6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61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1</w:t>
            </w:r>
          </w:p>
        </w:tc>
        <w:tc>
          <w:tcPr>
            <w:tcW w:w="1609" w:type="dxa"/>
            <w:vAlign w:val="center"/>
          </w:tcPr>
          <w:p>
            <w:pPr>
              <w:adjustRightInd w:val="0"/>
              <w:snapToGrid w:val="0"/>
              <w:spacing w:line="276" w:lineRule="auto"/>
              <w:jc w:val="center"/>
              <w:rPr>
                <w:color w:val="000000"/>
                <w:sz w:val="21"/>
                <w:szCs w:val="21"/>
                <w:shd w:val="clear" w:color="auto" w:fill="FFFFFF"/>
              </w:rPr>
            </w:pPr>
            <w:r>
              <w:rPr>
                <w:rFonts w:hint="eastAsia"/>
                <w:color w:val="000000"/>
                <w:sz w:val="21"/>
                <w:szCs w:val="21"/>
                <w:shd w:val="clear" w:color="auto" w:fill="FFFFFF"/>
              </w:rPr>
              <w:t>成孔（槽）质量检测仪</w:t>
            </w:r>
          </w:p>
          <w:p>
            <w:pPr>
              <w:adjustRightInd w:val="0"/>
              <w:snapToGrid w:val="0"/>
              <w:spacing w:line="276" w:lineRule="auto"/>
              <w:jc w:val="center"/>
              <w:rPr>
                <w:rFonts w:ascii="宋体" w:hAnsi="宋体"/>
                <w:sz w:val="21"/>
                <w:szCs w:val="21"/>
              </w:rPr>
            </w:pPr>
            <w:r>
              <w:rPr>
                <w:rFonts w:hint="eastAsia"/>
                <w:color w:val="000000"/>
                <w:sz w:val="21"/>
                <w:szCs w:val="21"/>
                <w:shd w:val="clear" w:color="auto" w:fill="FFFFFF"/>
              </w:rPr>
              <w:t>（核心产品）</w:t>
            </w:r>
          </w:p>
        </w:tc>
        <w:tc>
          <w:tcPr>
            <w:tcW w:w="709"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1</w:t>
            </w:r>
          </w:p>
        </w:tc>
        <w:tc>
          <w:tcPr>
            <w:tcW w:w="709"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套</w:t>
            </w:r>
          </w:p>
        </w:tc>
        <w:tc>
          <w:tcPr>
            <w:tcW w:w="6617" w:type="dxa"/>
            <w:vAlign w:val="center"/>
          </w:tcPr>
          <w:p>
            <w:pPr>
              <w:spacing w:line="276" w:lineRule="auto"/>
              <w:jc w:val="left"/>
              <w:rPr>
                <w:rFonts w:ascii="宋体" w:hAnsi="宋体" w:cs="仿宋"/>
                <w:b/>
                <w:bCs/>
                <w:snapToGrid w:val="0"/>
                <w:kern w:val="0"/>
                <w:sz w:val="21"/>
                <w:szCs w:val="21"/>
              </w:rPr>
            </w:pPr>
            <w:r>
              <w:rPr>
                <w:rFonts w:hint="eastAsia" w:ascii="宋体" w:hAnsi="宋体" w:cs="仿宋"/>
                <w:b/>
                <w:bCs/>
                <w:snapToGrid w:val="0"/>
                <w:kern w:val="0"/>
                <w:sz w:val="21"/>
                <w:szCs w:val="21"/>
              </w:rPr>
              <w:t>1</w:t>
            </w:r>
            <w:r>
              <w:rPr>
                <w:rFonts w:ascii="宋体" w:hAnsi="宋体" w:cs="仿宋"/>
                <w:b/>
                <w:bCs/>
                <w:snapToGrid w:val="0"/>
                <w:kern w:val="0"/>
                <w:sz w:val="21"/>
                <w:szCs w:val="21"/>
              </w:rPr>
              <w:t>.</w:t>
            </w:r>
            <w:r>
              <w:rPr>
                <w:rFonts w:hint="eastAsia" w:ascii="宋体" w:hAnsi="宋体" w:cs="仿宋"/>
                <w:b/>
                <w:bCs/>
                <w:snapToGrid w:val="0"/>
                <w:kern w:val="0"/>
                <w:sz w:val="21"/>
                <w:szCs w:val="21"/>
              </w:rPr>
              <w:t>技术指标</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1.1</w:t>
            </w:r>
            <w:r>
              <w:rPr>
                <w:rFonts w:ascii="宋体" w:hAnsi="宋体" w:cs="仿宋"/>
                <w:snapToGrid w:val="0"/>
                <w:kern w:val="0"/>
                <w:sz w:val="21"/>
                <w:szCs w:val="21"/>
              </w:rPr>
              <w:t xml:space="preserve"> </w:t>
            </w:r>
            <w:r>
              <w:rPr>
                <w:rFonts w:hint="eastAsia" w:ascii="宋体" w:hAnsi="宋体" w:cs="仿宋"/>
                <w:snapToGrid w:val="0"/>
                <w:kern w:val="0"/>
                <w:sz w:val="21"/>
                <w:szCs w:val="21"/>
              </w:rPr>
              <w:t>无线智能连接；</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1.2</w:t>
            </w:r>
            <w:r>
              <w:rPr>
                <w:rFonts w:ascii="宋体" w:hAnsi="宋体" w:cs="仿宋"/>
                <w:snapToGrid w:val="0"/>
                <w:kern w:val="0"/>
                <w:sz w:val="21"/>
                <w:szCs w:val="21"/>
              </w:rPr>
              <w:t xml:space="preserve"> </w:t>
            </w:r>
            <w:r>
              <w:rPr>
                <w:rFonts w:hint="eastAsia" w:ascii="宋体" w:hAnsi="宋体" w:cs="仿宋"/>
                <w:snapToGrid w:val="0"/>
                <w:kern w:val="0"/>
                <w:sz w:val="21"/>
                <w:szCs w:val="21"/>
              </w:rPr>
              <w:t>操作系统：Windows 10；</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1.3 10.5寸高清真彩触摸屏，分辨率1920*1200，运行操作程序，远程无线自由控制整个检测过程，并完成数据存储、分析和结果显示等，绘制3D成像图，清晰直观反应孔壁形，一键出检测报告， 绘制合成孔径图，现场可连接打印机打印/U盘导出或者数据上传平台（可定制）；</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1.4 端口支持热插拔。</w:t>
            </w:r>
          </w:p>
          <w:p>
            <w:pPr>
              <w:spacing w:line="276" w:lineRule="auto"/>
              <w:jc w:val="left"/>
              <w:rPr>
                <w:rFonts w:ascii="宋体" w:hAnsi="宋体" w:cs="仿宋"/>
                <w:b/>
                <w:bCs/>
                <w:snapToGrid w:val="0"/>
                <w:kern w:val="0"/>
                <w:sz w:val="21"/>
                <w:szCs w:val="21"/>
              </w:rPr>
            </w:pPr>
            <w:r>
              <w:rPr>
                <w:rFonts w:hint="eastAsia" w:ascii="宋体" w:hAnsi="宋体" w:cs="仿宋"/>
                <w:b/>
                <w:bCs/>
                <w:snapToGrid w:val="0"/>
                <w:kern w:val="0"/>
                <w:sz w:val="21"/>
                <w:szCs w:val="21"/>
              </w:rPr>
              <w:t>2.电源保护线路，内置稳压电源</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ACC220V±10%，50Hz±5%；</w:t>
            </w:r>
          </w:p>
          <w:p>
            <w:pPr>
              <w:spacing w:line="276" w:lineRule="auto"/>
              <w:jc w:val="left"/>
              <w:rPr>
                <w:rFonts w:ascii="宋体" w:hAnsi="宋体" w:cs="仿宋"/>
                <w:b/>
                <w:bCs/>
                <w:snapToGrid w:val="0"/>
                <w:kern w:val="0"/>
                <w:sz w:val="21"/>
                <w:szCs w:val="21"/>
              </w:rPr>
            </w:pPr>
            <w:r>
              <w:rPr>
                <w:rFonts w:hint="eastAsia" w:ascii="宋体" w:hAnsi="宋体" w:cs="仿宋"/>
                <w:b/>
                <w:bCs/>
                <w:snapToGrid w:val="0"/>
                <w:kern w:val="0"/>
                <w:sz w:val="21"/>
                <w:szCs w:val="21"/>
              </w:rPr>
              <w:t>3</w:t>
            </w:r>
            <w:r>
              <w:rPr>
                <w:rFonts w:ascii="宋体" w:hAnsi="宋体" w:cs="仿宋"/>
                <w:b/>
                <w:bCs/>
                <w:snapToGrid w:val="0"/>
                <w:kern w:val="0"/>
                <w:sz w:val="21"/>
                <w:szCs w:val="21"/>
              </w:rPr>
              <w:t>.</w:t>
            </w:r>
            <w:r>
              <w:rPr>
                <w:rFonts w:hint="eastAsia" w:ascii="宋体" w:hAnsi="宋体" w:cs="仿宋"/>
                <w:b/>
                <w:bCs/>
                <w:snapToGrid w:val="0"/>
                <w:kern w:val="0"/>
                <w:sz w:val="21"/>
                <w:szCs w:val="21"/>
              </w:rPr>
              <w:t>成孔要求</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 xml:space="preserve">3.1 成孔孔径（槽宽）：Ф 300-Ф 4000mm </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3.2 成孔（槽）垂直度：0-15°</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3.3 成孔（槽）底部沉渣厚度：0 - 210mm（可定制）</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3.4 井下探头方位角：0 - 360°</w:t>
            </w:r>
          </w:p>
          <w:p>
            <w:pPr>
              <w:spacing w:line="276" w:lineRule="auto"/>
              <w:jc w:val="left"/>
              <w:rPr>
                <w:rFonts w:ascii="宋体" w:hAnsi="宋体" w:cs="仿宋"/>
                <w:b/>
                <w:bCs/>
                <w:snapToGrid w:val="0"/>
                <w:kern w:val="0"/>
                <w:sz w:val="21"/>
                <w:szCs w:val="21"/>
              </w:rPr>
            </w:pPr>
            <w:r>
              <w:rPr>
                <w:rFonts w:hint="eastAsia" w:ascii="宋体" w:hAnsi="宋体" w:cs="仿宋"/>
                <w:b/>
                <w:bCs/>
                <w:snapToGrid w:val="0"/>
                <w:kern w:val="0"/>
                <w:sz w:val="21"/>
                <w:szCs w:val="21"/>
              </w:rPr>
              <w:t>4、检测精度</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4.1 成孔孔径（槽宽）：±5㎜；</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4.2 成孔孔（槽）深：0.1％FS；</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4.3 成孔垂直度：0.1°；</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4.4 成孔底部沉渣厚度：1mm；</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4.5 井下探头方位角：0.5°；</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5</w:t>
            </w:r>
            <w:r>
              <w:rPr>
                <w:rFonts w:ascii="宋体" w:hAnsi="宋体" w:cs="仿宋"/>
                <w:b/>
                <w:bCs/>
                <w:snapToGrid w:val="0"/>
                <w:kern w:val="0"/>
                <w:sz w:val="21"/>
                <w:szCs w:val="21"/>
              </w:rPr>
              <w:t>.</w:t>
            </w:r>
            <w:r>
              <w:rPr>
                <w:rFonts w:hint="eastAsia" w:ascii="宋体" w:hAnsi="宋体" w:cs="仿宋"/>
                <w:snapToGrid w:val="0"/>
                <w:kern w:val="0"/>
                <w:sz w:val="21"/>
                <w:szCs w:val="21"/>
              </w:rPr>
              <w:t xml:space="preserve">检测深度 </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5.1 电缆长度不小于：100 米；</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5.2 深度误差≤：0.1％FS</w:t>
            </w:r>
          </w:p>
          <w:p>
            <w:pPr>
              <w:spacing w:line="276" w:lineRule="auto"/>
              <w:jc w:val="left"/>
              <w:rPr>
                <w:rFonts w:ascii="宋体" w:hAnsi="宋体" w:cs="仿宋"/>
                <w:b/>
                <w:bCs/>
                <w:snapToGrid w:val="0"/>
                <w:kern w:val="0"/>
                <w:sz w:val="21"/>
                <w:szCs w:val="21"/>
              </w:rPr>
            </w:pPr>
            <w:r>
              <w:rPr>
                <w:rFonts w:hint="eastAsia" w:ascii="宋体" w:hAnsi="宋体" w:cs="仿宋"/>
                <w:b/>
                <w:bCs/>
                <w:snapToGrid w:val="0"/>
                <w:kern w:val="0"/>
                <w:sz w:val="21"/>
                <w:szCs w:val="21"/>
              </w:rPr>
              <w:t>6</w:t>
            </w:r>
            <w:r>
              <w:rPr>
                <w:rFonts w:ascii="宋体" w:hAnsi="宋体" w:cs="仿宋"/>
                <w:b/>
                <w:bCs/>
                <w:snapToGrid w:val="0"/>
                <w:kern w:val="0"/>
                <w:sz w:val="21"/>
                <w:szCs w:val="21"/>
              </w:rPr>
              <w:t>.</w:t>
            </w:r>
            <w:r>
              <w:rPr>
                <w:rFonts w:hint="eastAsia" w:ascii="宋体" w:hAnsi="宋体" w:cs="仿宋"/>
                <w:b/>
                <w:bCs/>
                <w:snapToGrid w:val="0"/>
                <w:kern w:val="0"/>
                <w:sz w:val="21"/>
                <w:szCs w:val="21"/>
              </w:rPr>
              <w:t>程控电动绞车</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6.1 电缆承受拉力：≤1000kg；</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6.2 电缆排线方式：全自动排线；</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6.3 上升或下降速度：程序控制，连续可调0–20m/min；</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6.4 自停功能 具备孔底自停和孔口自停功能；</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6.5 重量：≤60 kg；</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6.6 使用温度：-10℃～60℃；</w:t>
            </w:r>
          </w:p>
          <w:p>
            <w:pPr>
              <w:spacing w:line="276" w:lineRule="auto"/>
              <w:jc w:val="left"/>
              <w:rPr>
                <w:rFonts w:ascii="宋体" w:hAnsi="宋体" w:cs="仿宋"/>
                <w:snapToGrid w:val="0"/>
                <w:kern w:val="0"/>
                <w:sz w:val="21"/>
                <w:szCs w:val="21"/>
              </w:rPr>
            </w:pPr>
            <w:r>
              <w:rPr>
                <w:rFonts w:hint="eastAsia" w:ascii="宋体" w:hAnsi="宋体" w:cs="仿宋"/>
                <w:snapToGrid w:val="0"/>
                <w:kern w:val="0"/>
                <w:sz w:val="21"/>
                <w:szCs w:val="21"/>
              </w:rPr>
              <w:t>6.7海洋电缆，内置防扭丝；</w:t>
            </w:r>
          </w:p>
          <w:p>
            <w:pPr>
              <w:adjustRightInd w:val="0"/>
              <w:snapToGrid w:val="0"/>
              <w:spacing w:line="276" w:lineRule="auto"/>
              <w:jc w:val="left"/>
              <w:rPr>
                <w:rFonts w:ascii="宋体" w:hAnsi="宋体" w:cs="宋体"/>
                <w:sz w:val="21"/>
                <w:szCs w:val="21"/>
              </w:rPr>
            </w:pPr>
            <w:r>
              <w:rPr>
                <w:rFonts w:hint="eastAsia" w:ascii="宋体" w:hAnsi="宋体" w:cs="仿宋"/>
                <w:snapToGrid w:val="0"/>
                <w:kern w:val="0"/>
                <w:sz w:val="21"/>
                <w:szCs w:val="21"/>
              </w:rPr>
              <w:t>6.8变频大功率电机；</w:t>
            </w:r>
          </w:p>
        </w:tc>
      </w:tr>
    </w:tbl>
    <w:p>
      <w:pPr>
        <w:spacing w:line="276" w:lineRule="auto"/>
        <w:rPr>
          <w:sz w:val="21"/>
          <w:szCs w:val="21"/>
        </w:rPr>
      </w:pPr>
      <w:r>
        <w:rPr>
          <w:rFonts w:hint="eastAsia"/>
          <w:sz w:val="21"/>
          <w:szCs w:val="21"/>
        </w:rPr>
        <w:t>▲注：供应商所投产品均需满足以上技术指标。</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05DB781D"/>
    <w:rsid w:val="05DB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2120</Words>
  <Characters>2302</Characters>
  <Lines>0</Lines>
  <Paragraphs>0</Paragraphs>
  <TotalTime>0</TotalTime>
  <ScaleCrop>false</ScaleCrop>
  <LinksUpToDate>false</LinksUpToDate>
  <CharactersWithSpaces>2344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2023-07-11T07:21:00Z</dcterms:created>
  <dc:creator>qszbrenshixingzheng</dc:creator>
  <cp:lastModifiedBy>qszbrenshixingzheng</cp:lastModifiedBy>
  <dcterms:modified xsi:type="dcterms:W3CDTF">2023-07-11T07:21:31Z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3ED4196E9D464E5DACBFE584D856B956_11</vt:lpwstr>
  </property>
</Properties>
</file>