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采购标的对应的中小企业划分标准所属行业：其他未列明行业</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中小企业划型标准：</w:t>
      </w:r>
      <w:r>
        <w:rPr>
          <w:rFonts w:hint="eastAsia" w:ascii="宋体" w:hAnsi="宋体"/>
          <w:sz w:val="21"/>
          <w:szCs w:val="21"/>
        </w:rPr>
        <w:t>从业人员300人以下的为中小微型企业。其中，从业人员100人及以上的为中型企业；从业人员10人及以上的为小型企业；从业人员10人以下的为微型企业。</w:t>
      </w: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3"/>
        <w:tblW w:w="534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493"/>
        <w:gridCol w:w="76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820" w:type="pct"/>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4180" w:type="pct"/>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w:t>
            </w:r>
            <w:r>
              <w:rPr>
                <w:rFonts w:ascii="宋体" w:hAnsi="宋体" w:cs="宋体"/>
                <w:spacing w:val="-6"/>
                <w:kern w:val="0"/>
                <w:sz w:val="21"/>
                <w:szCs w:val="21"/>
              </w:rPr>
              <w:t>5</w:t>
            </w:r>
            <w:r>
              <w:rPr>
                <w:rFonts w:hint="eastAsia" w:ascii="宋体" w:hAnsi="宋体" w:cs="宋体"/>
                <w:spacing w:val="-6"/>
                <w:kern w:val="0"/>
                <w:sz w:val="21"/>
                <w:szCs w:val="21"/>
              </w:rPr>
              <w:t>%的履约保证金，履约保证金在服务期内无质量问题和维护问题，服务期满后，经用户验收合格，于20个工作日内退还（不计息），逾期退还的，自逾期之日起，向中标人每日偿付合同价款的0.05%的违约金；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820" w:type="pct"/>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4180" w:type="pct"/>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采购合同签订后且中标人已提交履约保证金的，采购人向中标人支付合同总价的</w:t>
            </w:r>
            <w:r>
              <w:rPr>
                <w:rFonts w:ascii="宋体" w:hAnsi="宋体" w:cs="宋体"/>
                <w:spacing w:val="-6"/>
                <w:sz w:val="21"/>
                <w:szCs w:val="21"/>
              </w:rPr>
              <w:t>40</w:t>
            </w:r>
            <w:r>
              <w:rPr>
                <w:rFonts w:hint="eastAsia" w:ascii="宋体" w:hAnsi="宋体" w:cs="宋体"/>
                <w:spacing w:val="-6"/>
                <w:sz w:val="21"/>
                <w:szCs w:val="21"/>
              </w:rPr>
              <w:t>%；</w:t>
            </w:r>
            <w:r>
              <w:rPr>
                <w:rFonts w:hint="eastAsia" w:ascii="宋体" w:hAnsi="宋体" w:cs="宋体"/>
                <w:sz w:val="21"/>
                <w:szCs w:val="21"/>
              </w:rPr>
              <w:t>完成所有系统测评和备案工作，并且提交测评报告，</w:t>
            </w:r>
            <w:r>
              <w:rPr>
                <w:rFonts w:hint="eastAsia" w:ascii="宋体" w:hAnsi="宋体" w:cs="宋体"/>
                <w:spacing w:val="-6"/>
                <w:sz w:val="21"/>
                <w:szCs w:val="21"/>
              </w:rPr>
              <w:t>自收到中标人开具的发票后5个工作日内支付合同总价的</w:t>
            </w:r>
            <w:r>
              <w:rPr>
                <w:rFonts w:ascii="宋体" w:hAnsi="宋体" w:cs="宋体"/>
                <w:spacing w:val="-6"/>
                <w:sz w:val="21"/>
                <w:szCs w:val="21"/>
              </w:rPr>
              <w:t>60</w:t>
            </w:r>
            <w:r>
              <w:rPr>
                <w:rFonts w:hint="eastAsia" w:ascii="宋体" w:hAnsi="宋体" w:cs="宋体"/>
                <w:spacing w:val="-6"/>
                <w:sz w:val="21"/>
                <w:szCs w:val="21"/>
              </w:rPr>
              <w:t>%，逾期支付货款的，自逾期之日起，向中标人每日偿付未付价款0.05%的滞纳金。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3"/>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b/>
                <w:bCs/>
                <w:sz w:val="21"/>
                <w:szCs w:val="21"/>
              </w:rPr>
              <w:t>服务期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sz w:val="21"/>
                <w:szCs w:val="21"/>
              </w:rPr>
            </w:pPr>
            <w:r>
              <w:rPr>
                <w:rFonts w:hint="eastAsia" w:ascii="宋体" w:hAnsi="宋体"/>
                <w:sz w:val="21"/>
                <w:szCs w:val="21"/>
              </w:rPr>
              <w:t>合同签订之日起2年。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测评服务时间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合同签订后30个日历天内完成定级和测评工作方案实施计划编制，合同签订后90个日历天内完成所有系统测评和备案工作。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ind w:firstLine="420" w:firstLineChars="200"/>
        <w:rPr>
          <w:rFonts w:ascii="宋体" w:hAnsi="宋体"/>
          <w:sz w:val="21"/>
          <w:szCs w:val="21"/>
        </w:rPr>
      </w:pPr>
      <w:r>
        <w:rPr>
          <w:rFonts w:hint="eastAsia" w:ascii="宋体" w:hAnsi="宋体"/>
          <w:sz w:val="21"/>
          <w:szCs w:val="21"/>
        </w:rPr>
        <w:t>本次采购的产品或服务主要对学院门户网站群、教学系统、统一身份认证、一卡通系统、校园网络系统共5个系统进行信息安全等级测评工作，测评等级为二级。产品及服务清单见采购需求。</w:t>
      </w:r>
    </w:p>
    <w:p>
      <w:pPr>
        <w:adjustRightInd w:val="0"/>
        <w:snapToGrid w:val="0"/>
        <w:ind w:firstLine="200"/>
        <w:rPr>
          <w:rFonts w:ascii="宋体" w:hAnsi="宋体"/>
          <w:b/>
          <w:bCs/>
          <w:sz w:val="21"/>
          <w:szCs w:val="21"/>
        </w:rPr>
      </w:pPr>
      <w:r>
        <w:rPr>
          <w:rFonts w:hint="eastAsia" w:ascii="宋体" w:hAnsi="宋体"/>
          <w:b/>
          <w:bCs/>
          <w:sz w:val="21"/>
          <w:szCs w:val="21"/>
        </w:rPr>
        <w:t>采购需求</w:t>
      </w:r>
    </w:p>
    <w:tbl>
      <w:tblPr>
        <w:tblStyle w:val="3"/>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299"/>
        <w:gridCol w:w="850"/>
        <w:gridCol w:w="993"/>
        <w:gridCol w:w="198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18" w:type="dxa"/>
            <w:shd w:val="clear" w:color="auto" w:fill="auto"/>
            <w:vAlign w:val="center"/>
          </w:tcPr>
          <w:p>
            <w:pPr>
              <w:spacing w:line="340" w:lineRule="exact"/>
              <w:jc w:val="center"/>
              <w:rPr>
                <w:rFonts w:ascii="宋体" w:hAnsi="宋体"/>
                <w:b/>
                <w:bCs/>
                <w:kern w:val="0"/>
                <w:sz w:val="21"/>
                <w:szCs w:val="21"/>
              </w:rPr>
            </w:pPr>
            <w:r>
              <w:rPr>
                <w:rFonts w:hint="eastAsia" w:ascii="宋体" w:hAnsi="宋体"/>
                <w:b/>
                <w:bCs/>
                <w:kern w:val="0"/>
                <w:sz w:val="21"/>
                <w:szCs w:val="21"/>
              </w:rPr>
              <w:t>序号</w:t>
            </w:r>
          </w:p>
        </w:tc>
        <w:tc>
          <w:tcPr>
            <w:tcW w:w="2299" w:type="dxa"/>
            <w:shd w:val="clear" w:color="auto" w:fill="auto"/>
            <w:vAlign w:val="center"/>
          </w:tcPr>
          <w:p>
            <w:pPr>
              <w:spacing w:line="340" w:lineRule="exact"/>
              <w:jc w:val="center"/>
              <w:rPr>
                <w:rFonts w:ascii="宋体" w:hAnsi="宋体"/>
                <w:b/>
                <w:bCs/>
                <w:kern w:val="0"/>
                <w:sz w:val="21"/>
                <w:szCs w:val="21"/>
              </w:rPr>
            </w:pPr>
            <w:r>
              <w:rPr>
                <w:rFonts w:hint="eastAsia" w:ascii="宋体" w:hAnsi="宋体"/>
                <w:b/>
                <w:bCs/>
                <w:kern w:val="0"/>
                <w:sz w:val="21"/>
                <w:szCs w:val="21"/>
              </w:rPr>
              <w:t>项目名称</w:t>
            </w:r>
          </w:p>
        </w:tc>
        <w:tc>
          <w:tcPr>
            <w:tcW w:w="850" w:type="dxa"/>
            <w:vAlign w:val="center"/>
          </w:tcPr>
          <w:p>
            <w:pPr>
              <w:spacing w:line="340" w:lineRule="exact"/>
              <w:jc w:val="center"/>
              <w:rPr>
                <w:rFonts w:ascii="宋体" w:hAnsi="宋体"/>
                <w:b/>
                <w:bCs/>
                <w:kern w:val="0"/>
                <w:sz w:val="21"/>
                <w:szCs w:val="21"/>
              </w:rPr>
            </w:pPr>
            <w:r>
              <w:rPr>
                <w:rFonts w:hint="eastAsia" w:ascii="宋体" w:hAnsi="宋体"/>
                <w:b/>
                <w:bCs/>
                <w:kern w:val="0"/>
                <w:sz w:val="21"/>
                <w:szCs w:val="21"/>
              </w:rPr>
              <w:t>单位</w:t>
            </w:r>
          </w:p>
        </w:tc>
        <w:tc>
          <w:tcPr>
            <w:tcW w:w="993" w:type="dxa"/>
            <w:vAlign w:val="center"/>
          </w:tcPr>
          <w:p>
            <w:pPr>
              <w:spacing w:line="340" w:lineRule="exact"/>
              <w:jc w:val="center"/>
              <w:rPr>
                <w:rFonts w:ascii="宋体" w:hAnsi="宋体"/>
                <w:b/>
                <w:bCs/>
                <w:kern w:val="0"/>
                <w:sz w:val="21"/>
                <w:szCs w:val="21"/>
              </w:rPr>
            </w:pPr>
            <w:r>
              <w:rPr>
                <w:rFonts w:hint="eastAsia" w:ascii="宋体" w:hAnsi="宋体"/>
                <w:b/>
                <w:bCs/>
                <w:kern w:val="0"/>
                <w:sz w:val="21"/>
                <w:szCs w:val="21"/>
              </w:rPr>
              <w:t>数量</w:t>
            </w:r>
          </w:p>
        </w:tc>
        <w:tc>
          <w:tcPr>
            <w:tcW w:w="1984" w:type="dxa"/>
            <w:shd w:val="clear" w:color="auto" w:fill="auto"/>
            <w:vAlign w:val="center"/>
          </w:tcPr>
          <w:p>
            <w:pPr>
              <w:spacing w:line="340" w:lineRule="exact"/>
              <w:jc w:val="center"/>
              <w:rPr>
                <w:rFonts w:ascii="宋体" w:hAnsi="宋体"/>
                <w:b/>
                <w:bCs/>
                <w:sz w:val="21"/>
                <w:szCs w:val="21"/>
              </w:rPr>
            </w:pPr>
            <w:r>
              <w:rPr>
                <w:rFonts w:hint="eastAsia" w:ascii="宋体" w:hAnsi="宋体"/>
                <w:b/>
                <w:bCs/>
                <w:sz w:val="21"/>
                <w:szCs w:val="21"/>
              </w:rPr>
              <w:t>主要技术参数</w:t>
            </w:r>
          </w:p>
        </w:tc>
        <w:tc>
          <w:tcPr>
            <w:tcW w:w="2126" w:type="dxa"/>
            <w:vAlign w:val="center"/>
          </w:tcPr>
          <w:p>
            <w:pPr>
              <w:spacing w:line="340" w:lineRule="exact"/>
              <w:jc w:val="center"/>
              <w:rPr>
                <w:rFonts w:ascii="宋体" w:hAnsi="宋体"/>
                <w:b/>
                <w:bCs/>
                <w:sz w:val="21"/>
                <w:szCs w:val="21"/>
              </w:rPr>
            </w:pPr>
            <w:r>
              <w:rPr>
                <w:rFonts w:hint="eastAsia" w:ascii="宋体" w:hAnsi="宋体"/>
                <w:b/>
                <w:bCs/>
                <w:sz w:val="21"/>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18" w:type="dxa"/>
            <w:shd w:val="clear" w:color="auto" w:fill="auto"/>
            <w:vAlign w:val="center"/>
          </w:tcPr>
          <w:p>
            <w:pPr>
              <w:spacing w:line="500" w:lineRule="exact"/>
              <w:jc w:val="center"/>
              <w:rPr>
                <w:rFonts w:ascii="宋体" w:hAnsi="宋体"/>
                <w:kern w:val="0"/>
                <w:sz w:val="21"/>
                <w:szCs w:val="21"/>
              </w:rPr>
            </w:pPr>
            <w:r>
              <w:rPr>
                <w:rFonts w:hint="eastAsia" w:ascii="宋体" w:hAnsi="宋体"/>
                <w:kern w:val="0"/>
                <w:sz w:val="21"/>
                <w:szCs w:val="21"/>
              </w:rPr>
              <w:t>1</w:t>
            </w:r>
          </w:p>
        </w:tc>
        <w:tc>
          <w:tcPr>
            <w:tcW w:w="2299" w:type="dxa"/>
            <w:shd w:val="clear" w:color="auto" w:fill="auto"/>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学院门户网站群</w:t>
            </w:r>
          </w:p>
        </w:tc>
        <w:tc>
          <w:tcPr>
            <w:tcW w:w="85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项</w:t>
            </w:r>
          </w:p>
        </w:tc>
        <w:tc>
          <w:tcPr>
            <w:tcW w:w="993"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w:t>
            </w:r>
          </w:p>
        </w:tc>
        <w:tc>
          <w:tcPr>
            <w:tcW w:w="1984" w:type="dxa"/>
            <w:shd w:val="clear" w:color="auto" w:fill="auto"/>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详见技术要求</w:t>
            </w:r>
          </w:p>
        </w:tc>
        <w:tc>
          <w:tcPr>
            <w:tcW w:w="2126"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18" w:type="dxa"/>
            <w:shd w:val="clear" w:color="auto" w:fill="auto"/>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2</w:t>
            </w:r>
          </w:p>
        </w:tc>
        <w:tc>
          <w:tcPr>
            <w:tcW w:w="2299" w:type="dxa"/>
            <w:shd w:val="clear" w:color="auto" w:fill="auto"/>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教学系统</w:t>
            </w:r>
          </w:p>
        </w:tc>
        <w:tc>
          <w:tcPr>
            <w:tcW w:w="85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项</w:t>
            </w:r>
          </w:p>
        </w:tc>
        <w:tc>
          <w:tcPr>
            <w:tcW w:w="993"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w:t>
            </w:r>
          </w:p>
        </w:tc>
        <w:tc>
          <w:tcPr>
            <w:tcW w:w="1984" w:type="dxa"/>
            <w:shd w:val="clear" w:color="auto" w:fill="auto"/>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详见技术要求</w:t>
            </w:r>
          </w:p>
        </w:tc>
        <w:tc>
          <w:tcPr>
            <w:tcW w:w="2126"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8" w:type="dxa"/>
            <w:shd w:val="clear" w:color="auto" w:fill="auto"/>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3</w:t>
            </w:r>
          </w:p>
        </w:tc>
        <w:tc>
          <w:tcPr>
            <w:tcW w:w="2299" w:type="dxa"/>
            <w:shd w:val="clear" w:color="auto" w:fill="auto"/>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统一身份认证</w:t>
            </w:r>
          </w:p>
        </w:tc>
        <w:tc>
          <w:tcPr>
            <w:tcW w:w="85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项</w:t>
            </w:r>
          </w:p>
        </w:tc>
        <w:tc>
          <w:tcPr>
            <w:tcW w:w="993"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w:t>
            </w:r>
          </w:p>
        </w:tc>
        <w:tc>
          <w:tcPr>
            <w:tcW w:w="1984" w:type="dxa"/>
            <w:shd w:val="clear" w:color="auto" w:fill="auto"/>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详见技术要求</w:t>
            </w:r>
          </w:p>
        </w:tc>
        <w:tc>
          <w:tcPr>
            <w:tcW w:w="2126"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18" w:type="dxa"/>
            <w:shd w:val="clear" w:color="auto" w:fill="auto"/>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4</w:t>
            </w:r>
          </w:p>
        </w:tc>
        <w:tc>
          <w:tcPr>
            <w:tcW w:w="2299" w:type="dxa"/>
            <w:shd w:val="clear" w:color="auto" w:fill="auto"/>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一卡通系统</w:t>
            </w:r>
          </w:p>
        </w:tc>
        <w:tc>
          <w:tcPr>
            <w:tcW w:w="850"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项</w:t>
            </w:r>
          </w:p>
        </w:tc>
        <w:tc>
          <w:tcPr>
            <w:tcW w:w="993"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1</w:t>
            </w:r>
          </w:p>
        </w:tc>
        <w:tc>
          <w:tcPr>
            <w:tcW w:w="1984" w:type="dxa"/>
            <w:shd w:val="clear" w:color="auto" w:fill="auto"/>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详见技术要求</w:t>
            </w:r>
          </w:p>
        </w:tc>
        <w:tc>
          <w:tcPr>
            <w:tcW w:w="2126" w:type="dxa"/>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18" w:type="dxa"/>
            <w:shd w:val="clear" w:color="auto" w:fill="auto"/>
            <w:vAlign w:val="center"/>
          </w:tcPr>
          <w:p>
            <w:pPr>
              <w:adjustRightInd w:val="0"/>
              <w:snapToGrid w:val="0"/>
              <w:spacing w:line="288" w:lineRule="auto"/>
              <w:jc w:val="center"/>
              <w:rPr>
                <w:rFonts w:ascii="宋体" w:hAnsi="宋体"/>
                <w:sz w:val="21"/>
                <w:szCs w:val="21"/>
              </w:rPr>
            </w:pPr>
            <w:r>
              <w:rPr>
                <w:rFonts w:hint="eastAsia" w:ascii="宋体" w:hAnsi="宋体"/>
                <w:sz w:val="21"/>
                <w:szCs w:val="21"/>
              </w:rPr>
              <w:t>5</w:t>
            </w:r>
          </w:p>
        </w:tc>
        <w:tc>
          <w:tcPr>
            <w:tcW w:w="2299" w:type="dxa"/>
            <w:shd w:val="clear" w:color="auto" w:fill="auto"/>
            <w:vAlign w:val="center"/>
          </w:tcPr>
          <w:p>
            <w:pPr>
              <w:adjustRightInd w:val="0"/>
              <w:snapToGrid w:val="0"/>
              <w:spacing w:line="288" w:lineRule="auto"/>
              <w:jc w:val="center"/>
              <w:rPr>
                <w:rFonts w:ascii="宋体" w:hAnsi="宋体" w:cs="宋体"/>
                <w:spacing w:val="-6"/>
                <w:kern w:val="0"/>
                <w:sz w:val="21"/>
                <w:szCs w:val="21"/>
              </w:rPr>
            </w:pPr>
            <w:r>
              <w:rPr>
                <w:rFonts w:hint="eastAsia" w:ascii="宋体" w:hAnsi="宋体" w:cs="宋体"/>
                <w:spacing w:val="-6"/>
                <w:kern w:val="0"/>
                <w:sz w:val="21"/>
                <w:szCs w:val="21"/>
              </w:rPr>
              <w:t>校园网络系统</w:t>
            </w:r>
          </w:p>
        </w:tc>
        <w:tc>
          <w:tcPr>
            <w:tcW w:w="850" w:type="dxa"/>
            <w:vAlign w:val="center"/>
          </w:tcPr>
          <w:p>
            <w:pPr>
              <w:adjustRightInd w:val="0"/>
              <w:snapToGrid w:val="0"/>
              <w:spacing w:line="288" w:lineRule="auto"/>
              <w:jc w:val="center"/>
              <w:rPr>
                <w:rFonts w:ascii="宋体" w:hAnsi="宋体" w:cs="宋体"/>
                <w:spacing w:val="-6"/>
                <w:kern w:val="0"/>
                <w:sz w:val="21"/>
                <w:szCs w:val="21"/>
              </w:rPr>
            </w:pPr>
            <w:r>
              <w:rPr>
                <w:rFonts w:hint="eastAsia" w:ascii="宋体" w:hAnsi="宋体" w:cs="宋体"/>
                <w:spacing w:val="-6"/>
                <w:kern w:val="0"/>
                <w:sz w:val="21"/>
                <w:szCs w:val="21"/>
              </w:rPr>
              <w:t>项</w:t>
            </w:r>
          </w:p>
        </w:tc>
        <w:tc>
          <w:tcPr>
            <w:tcW w:w="993" w:type="dxa"/>
            <w:vAlign w:val="center"/>
          </w:tcPr>
          <w:p>
            <w:pPr>
              <w:adjustRightInd w:val="0"/>
              <w:snapToGrid w:val="0"/>
              <w:spacing w:line="288" w:lineRule="auto"/>
              <w:jc w:val="center"/>
              <w:rPr>
                <w:rFonts w:ascii="宋体" w:hAnsi="宋体" w:cs="宋体"/>
                <w:spacing w:val="-6"/>
                <w:kern w:val="0"/>
                <w:sz w:val="21"/>
                <w:szCs w:val="21"/>
              </w:rPr>
            </w:pPr>
            <w:r>
              <w:rPr>
                <w:rFonts w:hint="eastAsia" w:ascii="宋体" w:hAnsi="宋体" w:cs="宋体"/>
                <w:spacing w:val="-6"/>
                <w:kern w:val="0"/>
                <w:sz w:val="21"/>
                <w:szCs w:val="21"/>
              </w:rPr>
              <w:t>1</w:t>
            </w:r>
          </w:p>
        </w:tc>
        <w:tc>
          <w:tcPr>
            <w:tcW w:w="1984" w:type="dxa"/>
            <w:shd w:val="clear" w:color="auto" w:fill="auto"/>
            <w:vAlign w:val="center"/>
          </w:tcPr>
          <w:p>
            <w:pPr>
              <w:adjustRightInd w:val="0"/>
              <w:snapToGrid w:val="0"/>
              <w:spacing w:line="288" w:lineRule="auto"/>
              <w:jc w:val="center"/>
              <w:rPr>
                <w:rFonts w:ascii="宋体" w:hAnsi="宋体" w:cs="宋体"/>
                <w:spacing w:val="-6"/>
                <w:kern w:val="0"/>
                <w:sz w:val="21"/>
                <w:szCs w:val="21"/>
              </w:rPr>
            </w:pPr>
            <w:r>
              <w:rPr>
                <w:rFonts w:hint="eastAsia" w:ascii="宋体" w:hAnsi="宋体" w:cs="宋体"/>
                <w:spacing w:val="-6"/>
                <w:kern w:val="0"/>
                <w:sz w:val="21"/>
                <w:szCs w:val="21"/>
              </w:rPr>
              <w:t>详见技术要求</w:t>
            </w:r>
          </w:p>
        </w:tc>
        <w:tc>
          <w:tcPr>
            <w:tcW w:w="2126" w:type="dxa"/>
            <w:vAlign w:val="center"/>
          </w:tcPr>
          <w:p>
            <w:pPr>
              <w:adjustRightInd w:val="0"/>
              <w:snapToGrid w:val="0"/>
              <w:spacing w:line="288" w:lineRule="auto"/>
              <w:jc w:val="center"/>
              <w:rPr>
                <w:rFonts w:ascii="宋体" w:hAnsi="宋体" w:cs="宋体"/>
                <w:spacing w:val="-6"/>
                <w:kern w:val="0"/>
                <w:sz w:val="21"/>
                <w:szCs w:val="21"/>
              </w:rPr>
            </w:pPr>
            <w:r>
              <w:rPr>
                <w:rFonts w:hint="eastAsia" w:ascii="宋体" w:hAnsi="宋体" w:cs="宋体"/>
                <w:spacing w:val="-6"/>
                <w:kern w:val="0"/>
                <w:sz w:val="21"/>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170" w:type="dxa"/>
            <w:gridSpan w:val="6"/>
            <w:shd w:val="clear" w:color="auto" w:fill="auto"/>
            <w:vAlign w:val="center"/>
          </w:tcPr>
          <w:p>
            <w:pPr>
              <w:adjustRightInd w:val="0"/>
              <w:snapToGrid w:val="0"/>
              <w:spacing w:line="288" w:lineRule="auto"/>
              <w:jc w:val="left"/>
              <w:rPr>
                <w:rFonts w:ascii="宋体" w:hAnsi="宋体"/>
                <w:sz w:val="21"/>
                <w:szCs w:val="21"/>
              </w:rPr>
            </w:pPr>
            <w:r>
              <w:rPr>
                <w:rFonts w:hint="eastAsia" w:ascii="宋体" w:hAnsi="宋体"/>
                <w:sz w:val="21"/>
                <w:szCs w:val="21"/>
              </w:rPr>
              <w:t>注： 1．投标人需提供“采购需求”中所列的服务内容、技术参数、性能指标等方面达到招标文件要求且满足用户使用要求的产品。</w:t>
            </w:r>
          </w:p>
          <w:p>
            <w:pPr>
              <w:adjustRightInd w:val="0"/>
              <w:snapToGrid w:val="0"/>
              <w:spacing w:line="288" w:lineRule="auto"/>
              <w:jc w:val="left"/>
              <w:rPr>
                <w:rFonts w:ascii="宋体" w:hAnsi="宋体"/>
                <w:sz w:val="21"/>
                <w:szCs w:val="21"/>
              </w:rPr>
            </w:pPr>
            <w:r>
              <w:rPr>
                <w:rFonts w:hint="eastAsia" w:ascii="宋体" w:hAnsi="宋体"/>
                <w:sz w:val="21"/>
                <w:szCs w:val="21"/>
              </w:rPr>
              <w:t>2．投标人报价应包含本次招标项目的全部费用，如信息系统安全等级保护备案、测评服务、验收合格后直至测评完成中产生的成本、利润、运输装卸及保险、安装调试、售后服务、税金等一切费用。</w:t>
            </w:r>
          </w:p>
        </w:tc>
      </w:tr>
    </w:tbl>
    <w:p>
      <w:pPr>
        <w:adjustRightInd w:val="0"/>
        <w:snapToGrid w:val="0"/>
        <w:spacing w:line="288" w:lineRule="auto"/>
        <w:ind w:firstLine="420" w:firstLineChars="200"/>
        <w:rPr>
          <w:rFonts w:ascii="宋体" w:hAnsi="宋体"/>
          <w:sz w:val="21"/>
          <w:szCs w:val="21"/>
        </w:rPr>
      </w:pPr>
      <w:r>
        <w:rPr>
          <w:rFonts w:hint="eastAsia" w:ascii="宋体" w:hAnsi="宋体"/>
          <w:sz w:val="21"/>
          <w:szCs w:val="21"/>
        </w:rPr>
        <w:t>投标人提供的产品应标明所执行的质量标准，若同一标准已颁发新标准，则按最新标准执行。具体技术要求如下：</w:t>
      </w:r>
    </w:p>
    <w:p>
      <w:pPr>
        <w:adjustRightInd w:val="0"/>
        <w:snapToGrid w:val="0"/>
        <w:ind w:firstLine="420" w:firstLineChars="200"/>
        <w:rPr>
          <w:rFonts w:ascii="宋体" w:hAnsi="宋体"/>
          <w:sz w:val="21"/>
          <w:szCs w:val="21"/>
        </w:rPr>
      </w:pPr>
      <w:r>
        <w:rPr>
          <w:rFonts w:hint="eastAsia" w:ascii="宋体" w:hAnsi="宋体"/>
          <w:sz w:val="21"/>
          <w:szCs w:val="21"/>
        </w:rPr>
        <w:t>本次项目安全等级保护测评为二级，具体包括：学院门户网站群、教学系统、统一身份认证、一卡通系统、校园网络系统。</w:t>
      </w:r>
    </w:p>
    <w:p>
      <w:pPr>
        <w:adjustRightInd w:val="0"/>
        <w:snapToGrid w:val="0"/>
        <w:ind w:firstLine="422" w:firstLineChars="200"/>
        <w:rPr>
          <w:rFonts w:ascii="宋体" w:hAnsi="宋体"/>
          <w:b/>
          <w:bCs/>
          <w:sz w:val="21"/>
          <w:szCs w:val="21"/>
        </w:rPr>
      </w:pPr>
      <w:r>
        <w:rPr>
          <w:rFonts w:hint="eastAsia" w:ascii="宋体" w:hAnsi="宋体"/>
          <w:b/>
          <w:bCs/>
          <w:sz w:val="21"/>
          <w:szCs w:val="21"/>
        </w:rPr>
        <w:t>（一）工作目标</w:t>
      </w:r>
    </w:p>
    <w:p>
      <w:pPr>
        <w:adjustRightInd w:val="0"/>
        <w:snapToGrid w:val="0"/>
        <w:ind w:firstLine="420" w:firstLineChars="200"/>
        <w:rPr>
          <w:rFonts w:ascii="宋体" w:hAnsi="宋体"/>
          <w:sz w:val="21"/>
          <w:szCs w:val="21"/>
        </w:rPr>
      </w:pPr>
      <w:r>
        <w:rPr>
          <w:rFonts w:hint="eastAsia" w:ascii="宋体" w:hAnsi="宋体"/>
          <w:sz w:val="21"/>
          <w:szCs w:val="21"/>
        </w:rPr>
        <w:t>依据《中华人民共和国网络安全法》，依据《中华人民共和国计算机信息系统安全保护条例》（国务院147号令）、《国家信息化领导小组关于加强信息安全保障工作的意见》（中办发〔2003〕27号）、《关于信息安全等级保护工作的实施意见》（公通字〔2004〕66号）和《信息安全等级保护管理办法》（公通字〔2007〕43号）等相关文件及标准要求，为切实提高本校信息系统安全保障能力，开展信息系统安全等级保护备案和测评工作，通过项目实施，查找漏洞，整改隐患，为全面提高信息系统稳定运行提供安全保障。主要工作目标：</w:t>
      </w:r>
    </w:p>
    <w:p>
      <w:pPr>
        <w:adjustRightInd w:val="0"/>
        <w:snapToGrid w:val="0"/>
        <w:ind w:firstLine="420" w:firstLineChars="200"/>
        <w:rPr>
          <w:rFonts w:ascii="宋体" w:hAnsi="宋体"/>
          <w:sz w:val="21"/>
          <w:szCs w:val="21"/>
        </w:rPr>
      </w:pPr>
      <w:r>
        <w:rPr>
          <w:rFonts w:hint="eastAsia" w:ascii="宋体" w:hAnsi="宋体"/>
          <w:sz w:val="21"/>
          <w:szCs w:val="21"/>
        </w:rPr>
        <w:t>1.识别信息安全风险</w:t>
      </w:r>
    </w:p>
    <w:p>
      <w:pPr>
        <w:adjustRightInd w:val="0"/>
        <w:snapToGrid w:val="0"/>
        <w:ind w:firstLine="420" w:firstLineChars="200"/>
        <w:rPr>
          <w:rFonts w:ascii="宋体" w:hAnsi="宋体"/>
          <w:sz w:val="21"/>
          <w:szCs w:val="21"/>
        </w:rPr>
      </w:pPr>
      <w:r>
        <w:rPr>
          <w:rFonts w:hint="eastAsia" w:ascii="宋体" w:hAnsi="宋体"/>
          <w:sz w:val="21"/>
          <w:szCs w:val="21"/>
        </w:rPr>
        <w:t>通过对信息系统在安全技术和安全管理方面的备案和测评，发现信息系统在安全技术和安全管理方面与相应安全等级保护要求之间的差距，分析评估信息系统面临的风险。</w:t>
      </w:r>
    </w:p>
    <w:p>
      <w:pPr>
        <w:adjustRightInd w:val="0"/>
        <w:snapToGrid w:val="0"/>
        <w:ind w:firstLine="420" w:firstLineChars="200"/>
        <w:rPr>
          <w:rFonts w:ascii="宋体" w:hAnsi="宋体"/>
          <w:sz w:val="21"/>
          <w:szCs w:val="21"/>
        </w:rPr>
      </w:pPr>
      <w:r>
        <w:rPr>
          <w:rFonts w:hint="eastAsia" w:ascii="宋体" w:hAnsi="宋体"/>
          <w:sz w:val="21"/>
          <w:szCs w:val="21"/>
        </w:rPr>
        <w:t>2.增强安全技术防护能力</w:t>
      </w:r>
    </w:p>
    <w:p>
      <w:pPr>
        <w:adjustRightInd w:val="0"/>
        <w:snapToGrid w:val="0"/>
        <w:ind w:firstLine="420" w:firstLineChars="200"/>
        <w:rPr>
          <w:rFonts w:ascii="宋体" w:hAnsi="宋体"/>
          <w:sz w:val="21"/>
          <w:szCs w:val="21"/>
        </w:rPr>
      </w:pPr>
      <w:r>
        <w:rPr>
          <w:rFonts w:hint="eastAsia" w:ascii="宋体" w:hAnsi="宋体"/>
          <w:sz w:val="21"/>
          <w:szCs w:val="21"/>
        </w:rPr>
        <w:t>依据安全技术等级测评结果，并结合学校信息化工作实际情况，制定针对性的安全技术建设整改计划，通过安全技术整改不断提高信息系统的整体安全保护水平。</w:t>
      </w:r>
    </w:p>
    <w:p>
      <w:pPr>
        <w:adjustRightInd w:val="0"/>
        <w:snapToGrid w:val="0"/>
        <w:ind w:firstLine="420" w:firstLineChars="200"/>
        <w:rPr>
          <w:rFonts w:ascii="宋体" w:hAnsi="宋体"/>
          <w:sz w:val="21"/>
          <w:szCs w:val="21"/>
        </w:rPr>
      </w:pPr>
      <w:r>
        <w:rPr>
          <w:rFonts w:hint="eastAsia" w:ascii="宋体" w:hAnsi="宋体"/>
          <w:sz w:val="21"/>
          <w:szCs w:val="21"/>
        </w:rPr>
        <w:t>3.提高信息安全管理水平</w:t>
      </w:r>
    </w:p>
    <w:p>
      <w:pPr>
        <w:adjustRightInd w:val="0"/>
        <w:snapToGrid w:val="0"/>
        <w:ind w:firstLine="420" w:firstLineChars="200"/>
        <w:rPr>
          <w:rFonts w:ascii="宋体" w:hAnsi="宋体"/>
          <w:sz w:val="21"/>
          <w:szCs w:val="21"/>
        </w:rPr>
      </w:pPr>
      <w:r>
        <w:rPr>
          <w:rFonts w:hint="eastAsia" w:ascii="宋体" w:hAnsi="宋体"/>
          <w:sz w:val="21"/>
          <w:szCs w:val="21"/>
        </w:rPr>
        <w:t>依据安全管理等级测评结果，建立健全各项管理制度、安全策略、操作规程，落实各项管理措施，完善安全事件处置和应急预案管理，通过安全管理手段与安全技术手段相结合，进一步保证信息系统的安全性和稳定性。</w:t>
      </w:r>
    </w:p>
    <w:p>
      <w:pPr>
        <w:adjustRightInd w:val="0"/>
        <w:snapToGrid w:val="0"/>
        <w:ind w:firstLine="422" w:firstLineChars="200"/>
        <w:rPr>
          <w:rFonts w:ascii="宋体" w:hAnsi="宋体"/>
          <w:b/>
          <w:bCs/>
          <w:sz w:val="21"/>
          <w:szCs w:val="21"/>
        </w:rPr>
      </w:pPr>
      <w:r>
        <w:rPr>
          <w:rFonts w:hint="eastAsia" w:ascii="宋体" w:hAnsi="宋体"/>
          <w:b/>
          <w:bCs/>
          <w:sz w:val="21"/>
          <w:szCs w:val="21"/>
        </w:rPr>
        <w:t>（二）项目内容</w:t>
      </w:r>
    </w:p>
    <w:p>
      <w:pPr>
        <w:adjustRightInd w:val="0"/>
        <w:snapToGrid w:val="0"/>
        <w:ind w:firstLine="420" w:firstLineChars="200"/>
        <w:rPr>
          <w:rFonts w:ascii="宋体" w:hAnsi="宋体"/>
          <w:sz w:val="21"/>
          <w:szCs w:val="21"/>
        </w:rPr>
      </w:pPr>
      <w:r>
        <w:rPr>
          <w:rFonts w:hint="eastAsia" w:ascii="宋体" w:hAnsi="宋体"/>
          <w:sz w:val="21"/>
          <w:szCs w:val="21"/>
        </w:rPr>
        <w:t>本次备案和测评工作包括但不仅限于以下内容：</w:t>
      </w:r>
    </w:p>
    <w:p>
      <w:pPr>
        <w:adjustRightInd w:val="0"/>
        <w:snapToGrid w:val="0"/>
        <w:ind w:firstLine="420" w:firstLineChars="200"/>
        <w:rPr>
          <w:rFonts w:ascii="宋体" w:hAnsi="宋体"/>
          <w:sz w:val="21"/>
          <w:szCs w:val="21"/>
        </w:rPr>
      </w:pPr>
      <w:r>
        <w:rPr>
          <w:rFonts w:hint="eastAsia" w:ascii="宋体" w:hAnsi="宋体"/>
          <w:sz w:val="21"/>
          <w:szCs w:val="21"/>
        </w:rPr>
        <w:t>1.完成信息系统的定级备案工作</w:t>
      </w:r>
    </w:p>
    <w:p>
      <w:pPr>
        <w:adjustRightInd w:val="0"/>
        <w:snapToGrid w:val="0"/>
        <w:ind w:firstLine="420" w:firstLineChars="200"/>
        <w:rPr>
          <w:rFonts w:ascii="宋体" w:hAnsi="宋体"/>
          <w:sz w:val="21"/>
          <w:szCs w:val="21"/>
        </w:rPr>
      </w:pPr>
      <w:r>
        <w:rPr>
          <w:rFonts w:hint="eastAsia" w:ascii="宋体" w:hAnsi="宋体"/>
          <w:sz w:val="21"/>
          <w:szCs w:val="21"/>
        </w:rPr>
        <w:t>对学校相关信息系统的定级进行协助，并向同级公安机关备案登记。</w:t>
      </w:r>
    </w:p>
    <w:p>
      <w:pPr>
        <w:adjustRightInd w:val="0"/>
        <w:snapToGrid w:val="0"/>
        <w:ind w:firstLine="420" w:firstLineChars="200"/>
        <w:rPr>
          <w:rFonts w:ascii="宋体" w:hAnsi="宋体"/>
          <w:sz w:val="21"/>
          <w:szCs w:val="21"/>
        </w:rPr>
      </w:pPr>
      <w:r>
        <w:rPr>
          <w:rFonts w:hint="eastAsia" w:ascii="宋体" w:hAnsi="宋体"/>
          <w:sz w:val="21"/>
          <w:szCs w:val="21"/>
        </w:rPr>
        <w:t>2.对信息系统进行等级保护测评</w:t>
      </w:r>
    </w:p>
    <w:p>
      <w:pPr>
        <w:adjustRightInd w:val="0"/>
        <w:snapToGrid w:val="0"/>
        <w:ind w:firstLine="420" w:firstLineChars="200"/>
        <w:rPr>
          <w:rFonts w:ascii="宋体" w:hAnsi="宋体"/>
          <w:sz w:val="21"/>
          <w:szCs w:val="21"/>
        </w:rPr>
      </w:pPr>
      <w:r>
        <w:rPr>
          <w:rFonts w:hint="eastAsia" w:ascii="宋体" w:hAnsi="宋体"/>
          <w:sz w:val="21"/>
          <w:szCs w:val="21"/>
        </w:rPr>
        <w:t>按照科学的评估方法，对信息系统安全现状进行等级保护测评，分析信息系统保护现状和信息安全等级保护基本要求之间的差距，评估目前信息系统是否符合国家及行业等级保护的相关标准，并出具测评报告，为开展系统安全等级保护整改建设提供依据。</w:t>
      </w:r>
    </w:p>
    <w:p>
      <w:pPr>
        <w:adjustRightInd w:val="0"/>
        <w:snapToGrid w:val="0"/>
        <w:ind w:firstLine="420" w:firstLineChars="200"/>
        <w:rPr>
          <w:rFonts w:ascii="宋体" w:hAnsi="宋体"/>
          <w:sz w:val="21"/>
          <w:szCs w:val="21"/>
        </w:rPr>
      </w:pPr>
      <w:r>
        <w:rPr>
          <w:rFonts w:hint="eastAsia" w:ascii="宋体" w:hAnsi="宋体"/>
          <w:sz w:val="21"/>
          <w:szCs w:val="21"/>
        </w:rPr>
        <w:t>测评的内容包括但不限于以下内容：</w:t>
      </w:r>
    </w:p>
    <w:p>
      <w:pPr>
        <w:adjustRightInd w:val="0"/>
        <w:snapToGrid w:val="0"/>
        <w:ind w:firstLine="420" w:firstLineChars="200"/>
        <w:rPr>
          <w:rFonts w:ascii="宋体" w:hAnsi="宋体"/>
          <w:sz w:val="21"/>
          <w:szCs w:val="21"/>
        </w:rPr>
      </w:pPr>
      <w:r>
        <w:rPr>
          <w:rFonts w:hint="eastAsia" w:ascii="宋体" w:hAnsi="宋体"/>
          <w:sz w:val="21"/>
          <w:szCs w:val="21"/>
        </w:rPr>
        <w:t>(1)安全技术测评：包括安全物理环境、安全通信网络、安全区域边界、安全计算环境和安全管理中心等五个方面的安全测评。</w:t>
      </w:r>
    </w:p>
    <w:p>
      <w:pPr>
        <w:adjustRightInd w:val="0"/>
        <w:snapToGrid w:val="0"/>
        <w:ind w:firstLine="420" w:firstLineChars="200"/>
        <w:rPr>
          <w:rFonts w:ascii="宋体" w:hAnsi="宋体"/>
          <w:sz w:val="21"/>
          <w:szCs w:val="21"/>
        </w:rPr>
      </w:pPr>
      <w:r>
        <w:rPr>
          <w:rFonts w:hint="eastAsia" w:ascii="宋体" w:hAnsi="宋体"/>
          <w:sz w:val="21"/>
          <w:szCs w:val="21"/>
        </w:rPr>
        <w:t>(2)安全管理测评：安全管理制度、安全管理机构、安全管理人员、安全建设管理和安全运维管理等五个方面的安全测评。</w:t>
      </w:r>
    </w:p>
    <w:p>
      <w:pPr>
        <w:adjustRightInd w:val="0"/>
        <w:snapToGrid w:val="0"/>
        <w:ind w:firstLine="420" w:firstLineChars="200"/>
        <w:rPr>
          <w:rFonts w:ascii="宋体" w:hAnsi="宋体"/>
          <w:sz w:val="21"/>
          <w:szCs w:val="21"/>
        </w:rPr>
      </w:pPr>
      <w:r>
        <w:rPr>
          <w:rFonts w:hint="eastAsia" w:ascii="宋体" w:hAnsi="宋体"/>
          <w:sz w:val="21"/>
          <w:szCs w:val="21"/>
        </w:rPr>
        <w:t>3.协助学校完成信息系统安全等级保护备案工作，并成功获取由网监部门颁发的备案证明。</w:t>
      </w:r>
    </w:p>
    <w:p>
      <w:pPr>
        <w:adjustRightInd w:val="0"/>
        <w:snapToGrid w:val="0"/>
        <w:ind w:firstLine="422" w:firstLineChars="200"/>
        <w:rPr>
          <w:rFonts w:ascii="宋体" w:hAnsi="宋体"/>
          <w:b/>
          <w:bCs/>
          <w:sz w:val="21"/>
          <w:szCs w:val="21"/>
        </w:rPr>
      </w:pPr>
      <w:r>
        <w:rPr>
          <w:rFonts w:hint="eastAsia" w:ascii="宋体" w:hAnsi="宋体"/>
          <w:b/>
          <w:bCs/>
          <w:sz w:val="21"/>
          <w:szCs w:val="21"/>
        </w:rPr>
        <w:t>（三）工作成果</w:t>
      </w:r>
    </w:p>
    <w:p>
      <w:pPr>
        <w:adjustRightInd w:val="0"/>
        <w:snapToGrid w:val="0"/>
        <w:ind w:firstLine="420" w:firstLineChars="200"/>
        <w:rPr>
          <w:rFonts w:ascii="宋体" w:hAnsi="宋体"/>
          <w:sz w:val="21"/>
          <w:szCs w:val="21"/>
        </w:rPr>
      </w:pPr>
      <w:r>
        <w:rPr>
          <w:rFonts w:hint="eastAsia" w:ascii="宋体" w:hAnsi="宋体"/>
          <w:sz w:val="21"/>
          <w:szCs w:val="21"/>
        </w:rPr>
        <w:t>1.应标人对有关业务系统完成信息系统等级保护备案定级和测评后，应形成相应的报告，包括且不仅仅包括以下成果：</w:t>
      </w:r>
    </w:p>
    <w:p>
      <w:pPr>
        <w:adjustRightInd w:val="0"/>
        <w:snapToGrid w:val="0"/>
        <w:ind w:firstLine="420" w:firstLineChars="200"/>
        <w:rPr>
          <w:rFonts w:ascii="宋体" w:hAnsi="宋体"/>
          <w:sz w:val="21"/>
          <w:szCs w:val="21"/>
        </w:rPr>
      </w:pPr>
      <w:r>
        <w:rPr>
          <w:rFonts w:hint="eastAsia" w:ascii="宋体" w:hAnsi="宋体"/>
          <w:sz w:val="21"/>
          <w:szCs w:val="21"/>
        </w:rPr>
        <w:t>《信息系统等级保护测评报告》</w:t>
      </w:r>
    </w:p>
    <w:p>
      <w:pPr>
        <w:adjustRightInd w:val="0"/>
        <w:snapToGrid w:val="0"/>
        <w:ind w:firstLine="420" w:firstLineChars="200"/>
        <w:rPr>
          <w:rFonts w:ascii="宋体" w:hAnsi="宋体"/>
          <w:sz w:val="21"/>
          <w:szCs w:val="21"/>
        </w:rPr>
      </w:pPr>
      <w:r>
        <w:rPr>
          <w:rFonts w:hint="eastAsia" w:ascii="宋体" w:hAnsi="宋体"/>
          <w:sz w:val="21"/>
          <w:szCs w:val="21"/>
        </w:rPr>
        <w:t>《信息系统等级保护整改建议书》</w:t>
      </w:r>
    </w:p>
    <w:p>
      <w:pPr>
        <w:adjustRightInd w:val="0"/>
        <w:snapToGrid w:val="0"/>
        <w:ind w:firstLine="420" w:firstLineChars="200"/>
        <w:rPr>
          <w:rFonts w:ascii="宋体" w:hAnsi="宋体"/>
          <w:sz w:val="21"/>
          <w:szCs w:val="21"/>
        </w:rPr>
      </w:pPr>
      <w:r>
        <w:rPr>
          <w:rFonts w:hint="eastAsia" w:ascii="宋体" w:hAnsi="宋体"/>
          <w:sz w:val="21"/>
          <w:szCs w:val="21"/>
        </w:rPr>
        <w:t>测评工作结束后，协助委托方完成系统的备案工作，并获得信息系统等级保护相关证书。</w:t>
      </w:r>
    </w:p>
    <w:p>
      <w:pPr>
        <w:adjustRightInd w:val="0"/>
        <w:snapToGrid w:val="0"/>
        <w:ind w:firstLine="420" w:firstLineChars="200"/>
        <w:rPr>
          <w:rFonts w:ascii="宋体" w:hAnsi="宋体"/>
          <w:sz w:val="21"/>
          <w:szCs w:val="21"/>
        </w:rPr>
      </w:pPr>
      <w:r>
        <w:rPr>
          <w:rFonts w:hint="eastAsia" w:ascii="宋体" w:hAnsi="宋体"/>
          <w:sz w:val="21"/>
          <w:szCs w:val="21"/>
        </w:rPr>
        <w:t>2.应标人在测评后出具符合省公安厅要求的系统安全保护等级测评报告。</w:t>
      </w:r>
    </w:p>
    <w:p>
      <w:pPr>
        <w:adjustRightInd w:val="0"/>
        <w:snapToGrid w:val="0"/>
        <w:ind w:firstLine="422" w:firstLineChars="200"/>
        <w:rPr>
          <w:rFonts w:ascii="宋体" w:hAnsi="宋体"/>
          <w:b/>
          <w:bCs/>
          <w:sz w:val="21"/>
          <w:szCs w:val="21"/>
        </w:rPr>
      </w:pPr>
      <w:r>
        <w:rPr>
          <w:rFonts w:hint="eastAsia" w:ascii="宋体" w:hAnsi="宋体"/>
          <w:b/>
          <w:bCs/>
          <w:sz w:val="21"/>
          <w:szCs w:val="21"/>
        </w:rPr>
        <w:t>（四）实施原则</w:t>
      </w:r>
    </w:p>
    <w:p>
      <w:pPr>
        <w:adjustRightInd w:val="0"/>
        <w:snapToGrid w:val="0"/>
        <w:ind w:firstLine="420" w:firstLineChars="200"/>
        <w:rPr>
          <w:rFonts w:ascii="宋体" w:hAnsi="宋体"/>
          <w:sz w:val="21"/>
          <w:szCs w:val="21"/>
        </w:rPr>
      </w:pPr>
      <w:r>
        <w:rPr>
          <w:rFonts w:hint="eastAsia" w:ascii="宋体" w:hAnsi="宋体"/>
          <w:sz w:val="21"/>
          <w:szCs w:val="21"/>
        </w:rPr>
        <w:t>测评人员应当没有偏见，在最小主观判断情形下，按照测评双方相互认可的测评方案，基于明确定义的测评方式和解释，实施测评活动。</w:t>
      </w:r>
    </w:p>
    <w:p>
      <w:pPr>
        <w:adjustRightInd w:val="0"/>
        <w:snapToGrid w:val="0"/>
        <w:ind w:firstLine="420" w:firstLineChars="200"/>
        <w:rPr>
          <w:rFonts w:ascii="宋体" w:hAnsi="宋体"/>
          <w:sz w:val="21"/>
          <w:szCs w:val="21"/>
        </w:rPr>
      </w:pPr>
      <w:r>
        <w:rPr>
          <w:rFonts w:hint="eastAsia" w:ascii="宋体" w:hAnsi="宋体"/>
          <w:sz w:val="21"/>
          <w:szCs w:val="21"/>
        </w:rPr>
        <w:t>1.可重复性原则</w:t>
      </w:r>
    </w:p>
    <w:p>
      <w:pPr>
        <w:adjustRightInd w:val="0"/>
        <w:snapToGrid w:val="0"/>
        <w:ind w:firstLine="420" w:firstLineChars="200"/>
        <w:rPr>
          <w:rFonts w:ascii="宋体" w:hAnsi="宋体"/>
          <w:sz w:val="21"/>
          <w:szCs w:val="21"/>
        </w:rPr>
      </w:pPr>
      <w:r>
        <w:rPr>
          <w:rFonts w:hint="eastAsia" w:ascii="宋体" w:hAnsi="宋体"/>
          <w:sz w:val="21"/>
          <w:szCs w:val="21"/>
        </w:rPr>
        <w:t>依照同样的要求，使用同样的测评方式，对每个测评实施过程的重复执行应得到相同结果。</w:t>
      </w:r>
    </w:p>
    <w:p>
      <w:pPr>
        <w:adjustRightInd w:val="0"/>
        <w:snapToGrid w:val="0"/>
        <w:ind w:firstLine="420" w:firstLineChars="200"/>
        <w:rPr>
          <w:rFonts w:ascii="宋体" w:hAnsi="宋体"/>
          <w:sz w:val="21"/>
          <w:szCs w:val="21"/>
        </w:rPr>
      </w:pPr>
      <w:r>
        <w:rPr>
          <w:rFonts w:hint="eastAsia" w:ascii="宋体" w:hAnsi="宋体"/>
          <w:sz w:val="21"/>
          <w:szCs w:val="21"/>
        </w:rPr>
        <w:t>2.连续性原则</w:t>
      </w:r>
    </w:p>
    <w:p>
      <w:pPr>
        <w:adjustRightInd w:val="0"/>
        <w:snapToGrid w:val="0"/>
        <w:ind w:firstLine="420" w:firstLineChars="200"/>
        <w:rPr>
          <w:rFonts w:ascii="宋体" w:hAnsi="宋体"/>
          <w:sz w:val="21"/>
          <w:szCs w:val="21"/>
        </w:rPr>
      </w:pPr>
      <w:r>
        <w:rPr>
          <w:rFonts w:hint="eastAsia" w:ascii="宋体" w:hAnsi="宋体"/>
          <w:sz w:val="21"/>
          <w:szCs w:val="21"/>
        </w:rPr>
        <w:t>确保在连续变化的环境中，在有效的服务期间内，保证相关业务系统等级备案和测评结论的准确性和及时性，保证信息安全测评的动态稳定性。</w:t>
      </w:r>
    </w:p>
    <w:p>
      <w:pPr>
        <w:adjustRightInd w:val="0"/>
        <w:snapToGrid w:val="0"/>
        <w:ind w:firstLine="420" w:firstLineChars="200"/>
        <w:rPr>
          <w:rFonts w:ascii="宋体" w:hAnsi="宋体"/>
          <w:sz w:val="21"/>
          <w:szCs w:val="21"/>
        </w:rPr>
      </w:pPr>
      <w:r>
        <w:rPr>
          <w:rFonts w:hint="eastAsia" w:ascii="宋体" w:hAnsi="宋体"/>
          <w:sz w:val="21"/>
          <w:szCs w:val="21"/>
        </w:rPr>
        <w:t>3.扩展性原则</w:t>
      </w:r>
    </w:p>
    <w:p>
      <w:pPr>
        <w:adjustRightInd w:val="0"/>
        <w:snapToGrid w:val="0"/>
        <w:ind w:firstLine="420" w:firstLineChars="200"/>
        <w:rPr>
          <w:rFonts w:ascii="宋体" w:hAnsi="宋体"/>
          <w:sz w:val="21"/>
          <w:szCs w:val="21"/>
        </w:rPr>
      </w:pPr>
      <w:r>
        <w:rPr>
          <w:rFonts w:hint="eastAsia" w:ascii="宋体" w:hAnsi="宋体"/>
          <w:sz w:val="21"/>
          <w:szCs w:val="21"/>
        </w:rPr>
        <w:t>信息安全测评过程要保证可扩展性，基于可持续的目标进一步加强测评结束后的安全管理有效性和可用性。</w:t>
      </w:r>
    </w:p>
    <w:p>
      <w:pPr>
        <w:adjustRightInd w:val="0"/>
        <w:snapToGrid w:val="0"/>
        <w:ind w:firstLine="420" w:firstLineChars="200"/>
        <w:rPr>
          <w:rFonts w:ascii="宋体" w:hAnsi="宋体"/>
          <w:sz w:val="21"/>
          <w:szCs w:val="21"/>
        </w:rPr>
      </w:pPr>
      <w:r>
        <w:rPr>
          <w:rFonts w:hint="eastAsia" w:ascii="宋体" w:hAnsi="宋体"/>
          <w:sz w:val="21"/>
          <w:szCs w:val="21"/>
        </w:rPr>
        <w:t>4.互动原则</w:t>
      </w:r>
    </w:p>
    <w:p>
      <w:pPr>
        <w:adjustRightInd w:val="0"/>
        <w:snapToGrid w:val="0"/>
        <w:ind w:firstLine="420" w:firstLineChars="200"/>
        <w:rPr>
          <w:rFonts w:ascii="宋体" w:hAnsi="宋体"/>
          <w:sz w:val="21"/>
          <w:szCs w:val="21"/>
        </w:rPr>
      </w:pPr>
      <w:r>
        <w:rPr>
          <w:rFonts w:hint="eastAsia" w:ascii="宋体" w:hAnsi="宋体"/>
          <w:sz w:val="21"/>
          <w:szCs w:val="21"/>
        </w:rPr>
        <w:t>测评过程中强调用户方的互动参与，项目各阶段都应根据用户方的要求和实际情况对测评的内容及方式做出相关调整，进而更好的开展等级测评工作。</w:t>
      </w:r>
    </w:p>
    <w:p>
      <w:pPr>
        <w:adjustRightInd w:val="0"/>
        <w:snapToGrid w:val="0"/>
        <w:ind w:firstLine="420" w:firstLineChars="200"/>
        <w:rPr>
          <w:rFonts w:ascii="宋体" w:hAnsi="宋体"/>
          <w:sz w:val="21"/>
          <w:szCs w:val="21"/>
        </w:rPr>
      </w:pPr>
      <w:r>
        <w:rPr>
          <w:rFonts w:hint="eastAsia" w:ascii="宋体" w:hAnsi="宋体"/>
          <w:sz w:val="21"/>
          <w:szCs w:val="21"/>
        </w:rPr>
        <w:t>5.最小影响原则</w:t>
      </w:r>
    </w:p>
    <w:p>
      <w:pPr>
        <w:adjustRightInd w:val="0"/>
        <w:snapToGrid w:val="0"/>
        <w:ind w:firstLine="420" w:firstLineChars="200"/>
        <w:rPr>
          <w:rFonts w:ascii="宋体" w:hAnsi="宋体"/>
          <w:sz w:val="21"/>
          <w:szCs w:val="21"/>
        </w:rPr>
      </w:pPr>
      <w:r>
        <w:rPr>
          <w:rFonts w:hint="eastAsia" w:ascii="宋体" w:hAnsi="宋体"/>
          <w:sz w:val="21"/>
          <w:szCs w:val="21"/>
        </w:rPr>
        <w:t>测评工作应尽可能小地影响业务系统和网络平台的正常运行，不应对业务的正常运行产生明显的影响（包括系统性能明显下降、网络阻塞、服务中断等），如无法避免，则应提前协商解决。</w:t>
      </w:r>
    </w:p>
    <w:p>
      <w:pPr>
        <w:adjustRightInd w:val="0"/>
        <w:snapToGrid w:val="0"/>
        <w:ind w:firstLine="420" w:firstLineChars="200"/>
        <w:rPr>
          <w:rFonts w:ascii="宋体" w:hAnsi="宋体"/>
          <w:sz w:val="21"/>
          <w:szCs w:val="21"/>
        </w:rPr>
      </w:pPr>
      <w:r>
        <w:rPr>
          <w:rFonts w:hint="eastAsia" w:ascii="宋体" w:hAnsi="宋体"/>
          <w:sz w:val="21"/>
          <w:szCs w:val="21"/>
        </w:rPr>
        <w:t>6.规范性原则</w:t>
      </w:r>
    </w:p>
    <w:p>
      <w:pPr>
        <w:adjustRightInd w:val="0"/>
        <w:snapToGrid w:val="0"/>
        <w:ind w:firstLine="420" w:firstLineChars="200"/>
        <w:rPr>
          <w:rFonts w:ascii="宋体" w:hAnsi="宋体"/>
          <w:sz w:val="21"/>
          <w:szCs w:val="21"/>
        </w:rPr>
      </w:pPr>
      <w:r>
        <w:rPr>
          <w:rFonts w:hint="eastAsia" w:ascii="宋体" w:hAnsi="宋体"/>
          <w:sz w:val="21"/>
          <w:szCs w:val="21"/>
        </w:rPr>
        <w:t>信息安全等级保护测评服务的实施必须由专业的测评服务人员依照规范的操作流程进行，对操作过程和结果要有相应的记录，并提供完整的服务报告。</w:t>
      </w:r>
    </w:p>
    <w:p>
      <w:pPr>
        <w:adjustRightInd w:val="0"/>
        <w:snapToGrid w:val="0"/>
        <w:ind w:firstLine="420" w:firstLineChars="200"/>
        <w:rPr>
          <w:rFonts w:ascii="宋体" w:hAnsi="宋体"/>
          <w:sz w:val="21"/>
          <w:szCs w:val="21"/>
        </w:rPr>
      </w:pPr>
      <w:r>
        <w:rPr>
          <w:rFonts w:hint="eastAsia" w:ascii="宋体" w:hAnsi="宋体"/>
          <w:sz w:val="21"/>
          <w:szCs w:val="21"/>
        </w:rPr>
        <w:t>7.质量保障原则</w:t>
      </w:r>
    </w:p>
    <w:p>
      <w:pPr>
        <w:adjustRightInd w:val="0"/>
        <w:snapToGrid w:val="0"/>
        <w:ind w:firstLine="420" w:firstLineChars="200"/>
        <w:rPr>
          <w:rFonts w:ascii="宋体" w:hAnsi="宋体"/>
          <w:sz w:val="21"/>
          <w:szCs w:val="21"/>
        </w:rPr>
      </w:pPr>
      <w:r>
        <w:rPr>
          <w:rFonts w:hint="eastAsia" w:ascii="宋体" w:hAnsi="宋体"/>
          <w:sz w:val="21"/>
          <w:szCs w:val="21"/>
        </w:rPr>
        <w:t>必须高度重视项目质量管理，项目实施要严格按照预定方案和流程进行，并控制好项目进度和质量，确保最终测评成果符合实际情况以及相关部门要求。</w:t>
      </w:r>
    </w:p>
    <w:p>
      <w:pPr>
        <w:adjustRightInd w:val="0"/>
        <w:snapToGrid w:val="0"/>
        <w:ind w:firstLine="422" w:firstLineChars="200"/>
        <w:rPr>
          <w:rFonts w:ascii="宋体" w:hAnsi="宋体"/>
          <w:b/>
          <w:bCs/>
          <w:sz w:val="21"/>
          <w:szCs w:val="21"/>
        </w:rPr>
      </w:pPr>
      <w:r>
        <w:rPr>
          <w:rFonts w:hint="eastAsia" w:ascii="宋体" w:hAnsi="宋体"/>
          <w:b/>
          <w:bCs/>
          <w:sz w:val="21"/>
          <w:szCs w:val="21"/>
        </w:rPr>
        <w:t>（五）服务要求</w:t>
      </w:r>
    </w:p>
    <w:p>
      <w:pPr>
        <w:adjustRightInd w:val="0"/>
        <w:snapToGrid w:val="0"/>
        <w:ind w:firstLine="420" w:firstLineChars="200"/>
        <w:rPr>
          <w:rFonts w:ascii="宋体" w:hAnsi="宋体"/>
          <w:sz w:val="21"/>
          <w:szCs w:val="21"/>
        </w:rPr>
      </w:pPr>
      <w:r>
        <w:rPr>
          <w:rFonts w:hint="eastAsia" w:ascii="宋体" w:hAnsi="宋体"/>
          <w:sz w:val="21"/>
          <w:szCs w:val="21"/>
        </w:rPr>
        <w:t>投标人应至少包括以下内容作出服务承诺：</w:t>
      </w:r>
    </w:p>
    <w:p>
      <w:pPr>
        <w:adjustRightInd w:val="0"/>
        <w:snapToGrid w:val="0"/>
        <w:ind w:firstLine="420" w:firstLineChars="200"/>
        <w:rPr>
          <w:rFonts w:ascii="宋体" w:hAnsi="宋体"/>
          <w:sz w:val="21"/>
          <w:szCs w:val="21"/>
        </w:rPr>
      </w:pPr>
      <w:r>
        <w:rPr>
          <w:rFonts w:hint="eastAsia" w:ascii="宋体" w:hAnsi="宋体"/>
          <w:sz w:val="21"/>
          <w:szCs w:val="21"/>
        </w:rPr>
        <w:t>1.投标人应满足采购单位和相关部门提出的标准性、规范性、可控性、整体性、最小影响性及保密性原则，做到守时、保质。</w:t>
      </w:r>
    </w:p>
    <w:p>
      <w:pPr>
        <w:adjustRightInd w:val="0"/>
        <w:snapToGrid w:val="0"/>
        <w:ind w:firstLine="420" w:firstLineChars="200"/>
        <w:rPr>
          <w:rFonts w:ascii="宋体" w:hAnsi="宋体"/>
          <w:sz w:val="21"/>
          <w:szCs w:val="21"/>
        </w:rPr>
      </w:pPr>
      <w:r>
        <w:rPr>
          <w:rFonts w:hint="eastAsia" w:ascii="宋体" w:hAnsi="宋体"/>
          <w:sz w:val="21"/>
          <w:szCs w:val="21"/>
        </w:rPr>
        <w:t>2.保密要求。投标人中标且合同签订后必须和采购单位签订保密协议和非侵害性协议，参与测评的所有项目组成员需要和浙大城市学院签订保密协议和非侵害性协议，在合同签定时一并提供给浙大城市学院。</w:t>
      </w:r>
    </w:p>
    <w:p>
      <w:pPr>
        <w:adjustRightInd w:val="0"/>
        <w:snapToGrid w:val="0"/>
        <w:ind w:firstLine="420" w:firstLineChars="200"/>
        <w:rPr>
          <w:rFonts w:ascii="宋体" w:hAnsi="宋体"/>
          <w:sz w:val="21"/>
          <w:szCs w:val="21"/>
        </w:rPr>
      </w:pPr>
      <w:r>
        <w:rPr>
          <w:rFonts w:hint="eastAsia" w:ascii="宋体" w:hAnsi="宋体"/>
          <w:sz w:val="21"/>
          <w:szCs w:val="21"/>
        </w:rPr>
        <w:t>3.投标人对工作过程中接触的信息系统、网络设备及数据资料等负有保密责任，不得泄露给任何第三方。</w:t>
      </w:r>
    </w:p>
    <w:p>
      <w:pPr>
        <w:adjustRightInd w:val="0"/>
        <w:snapToGrid w:val="0"/>
        <w:ind w:firstLine="420" w:firstLineChars="200"/>
        <w:rPr>
          <w:rFonts w:ascii="宋体" w:hAnsi="宋体"/>
          <w:sz w:val="21"/>
          <w:szCs w:val="21"/>
        </w:rPr>
      </w:pPr>
      <w:r>
        <w:rPr>
          <w:rFonts w:hint="eastAsia" w:ascii="宋体" w:hAnsi="宋体"/>
          <w:sz w:val="21"/>
          <w:szCs w:val="21"/>
        </w:rPr>
        <w:t>4.品质保证。投标人应承诺指派工作经验丰富、技术实力雄厚的安全顾问，结合技术领先、结论可靠的测评工具为浙大城市学院全面等级保护符合性测评。</w:t>
      </w:r>
    </w:p>
    <w:p>
      <w:pPr>
        <w:pStyle w:val="2"/>
        <w:adjustRightInd w:val="0"/>
        <w:spacing w:before="0" w:afterLines="0" w:line="240" w:lineRule="auto"/>
        <w:ind w:firstLine="422" w:firstLineChars="200"/>
        <w:rPr>
          <w:rFonts w:hint="default"/>
          <w:b/>
          <w:bCs/>
          <w:color w:val="auto"/>
          <w:sz w:val="21"/>
          <w:szCs w:val="21"/>
        </w:rPr>
      </w:pPr>
      <w:r>
        <w:rPr>
          <w:b/>
          <w:bCs/>
          <w:color w:val="auto"/>
          <w:sz w:val="21"/>
          <w:szCs w:val="21"/>
        </w:rPr>
        <w:t>（六）商务要求</w:t>
      </w:r>
    </w:p>
    <w:p>
      <w:pPr>
        <w:adjustRightInd w:val="0"/>
        <w:snapToGrid w:val="0"/>
        <w:ind w:firstLine="420" w:firstLineChars="200"/>
        <w:rPr>
          <w:rFonts w:ascii="宋体" w:hAnsi="宋体"/>
          <w:sz w:val="21"/>
          <w:szCs w:val="21"/>
        </w:rPr>
      </w:pPr>
      <w:r>
        <w:rPr>
          <w:rFonts w:hint="eastAsia" w:ascii="宋体" w:hAnsi="宋体"/>
          <w:sz w:val="21"/>
          <w:szCs w:val="21"/>
        </w:rPr>
        <w:t>（一）上述技术参数及要求中所发生的一切费用均包含在投标价格中。</w:t>
      </w:r>
    </w:p>
    <w:p>
      <w:pPr>
        <w:adjustRightInd w:val="0"/>
        <w:snapToGrid w:val="0"/>
        <w:ind w:firstLine="420" w:firstLineChars="200"/>
        <w:rPr>
          <w:rFonts w:ascii="宋体" w:hAnsi="宋体"/>
          <w:sz w:val="21"/>
          <w:szCs w:val="21"/>
        </w:rPr>
      </w:pPr>
      <w:r>
        <w:rPr>
          <w:rFonts w:hint="eastAsia" w:ascii="宋体" w:hAnsi="宋体"/>
          <w:sz w:val="21"/>
          <w:szCs w:val="21"/>
        </w:rPr>
        <w:t>（二）服务期自项目验收签字之日起计算。服务期内服务费用由中标人负担。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67195"/>
    <w:rsid w:val="3B067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widowControl/>
      <w:snapToGrid w:val="0"/>
      <w:spacing w:before="50" w:afterLines="50" w:line="400" w:lineRule="atLeast"/>
      <w:jc w:val="left"/>
    </w:pPr>
    <w:rPr>
      <w:rFonts w:hint="eastAsia" w:ascii="宋体" w:hAnsi="宋体"/>
      <w:color w:val="000000"/>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2021-11-04T08:52:00Z</dcterms:created>
  <dc:creator>amander</dc:creator>
  <lastModifiedBy>amander</lastModifiedBy>
  <dcterms:modified xsi:type="dcterms:W3CDTF">2021-11-04T08:52:39Z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4A737B97CB8843558F4764121073B466</vt:lpwstr>
  </property>
</Properties>
</file>