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left="272" w:hanging="272" w:hangingChars="113"/>
        <w:outlineLvl w:val="1"/>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为落实政府采购政策需满足的要求：</w:t>
      </w:r>
    </w:p>
    <w:tbl>
      <w:tblPr>
        <w:tblStyle w:val="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spacing w:line="288" w:lineRule="auto"/>
              <w:jc w:val="left"/>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spacing w:line="288" w:lineRule="auto"/>
              <w:jc w:val="left"/>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spacing w:line="288" w:lineRule="auto"/>
              <w:jc w:val="left"/>
              <w:rPr>
                <w:rFonts w:ascii="宋体" w:hAnsi="宋体"/>
                <w:sz w:val="21"/>
                <w:szCs w:val="21"/>
              </w:rPr>
            </w:pPr>
            <w:r>
              <w:rPr>
                <w:rFonts w:hint="eastAsia" w:ascii="宋体" w:hAnsi="宋体" w:cs="宋体"/>
                <w:sz w:val="21"/>
                <w:szCs w:val="21"/>
              </w:rPr>
              <w:t>不适用</w:t>
            </w:r>
          </w:p>
        </w:tc>
      </w:tr>
    </w:tbl>
    <w:p>
      <w:pPr>
        <w:spacing w:line="288" w:lineRule="auto"/>
        <w:rPr>
          <w:rFonts w:ascii="宋体" w:hAnsi="宋体"/>
          <w:sz w:val="21"/>
          <w:szCs w:val="21"/>
        </w:rPr>
      </w:pPr>
    </w:p>
    <w:p>
      <w:pPr>
        <w:spacing w:line="288" w:lineRule="auto"/>
        <w:outlineLvl w:val="1"/>
        <w:rPr>
          <w:rFonts w:ascii="宋体" w:hAnsi="宋体"/>
          <w:b/>
          <w:sz w:val="24"/>
          <w:highlight w:val="yellow"/>
        </w:rPr>
      </w:pPr>
      <w:r>
        <w:rPr>
          <w:rFonts w:hint="eastAsia" w:ascii="宋体" w:hAnsi="宋体"/>
          <w:b/>
          <w:sz w:val="24"/>
        </w:rPr>
        <w:t>二</w:t>
      </w:r>
      <w:r>
        <w:rPr>
          <w:rFonts w:ascii="宋体" w:hAnsi="宋体"/>
          <w:b/>
          <w:sz w:val="24"/>
        </w:rPr>
        <w:t>、</w:t>
      </w:r>
      <w:r>
        <w:rPr>
          <w:rFonts w:hint="eastAsia" w:ascii="宋体" w:hAnsi="宋体"/>
          <w:b/>
          <w:sz w:val="24"/>
        </w:rPr>
        <w:t>采购资金的支付方式、时间、条件：</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▲付款方式</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1、合同签订后一月内支付合同总额30%，平台验收合格后支付合同总额30%，验收半年后支付合同总额35%，剩余5%作为质保金，在</w:t>
            </w:r>
            <w:r>
              <w:rPr>
                <w:rFonts w:ascii="宋体" w:hAnsi="宋体"/>
                <w:spacing w:val="-6"/>
                <w:sz w:val="21"/>
                <w:szCs w:val="21"/>
              </w:rPr>
              <w:t>3</w:t>
            </w:r>
            <w:r>
              <w:rPr>
                <w:rFonts w:hint="eastAsia" w:ascii="宋体" w:hAnsi="宋体"/>
                <w:spacing w:val="-6"/>
                <w:sz w:val="21"/>
                <w:szCs w:val="21"/>
              </w:rPr>
              <w:t>年质保期结束后支付。</w:t>
            </w:r>
          </w:p>
        </w:tc>
      </w:tr>
    </w:tbl>
    <w:p>
      <w:pPr>
        <w:spacing w:line="288" w:lineRule="auto"/>
        <w:ind w:left="272" w:hanging="272" w:hangingChars="113"/>
        <w:rPr>
          <w:rFonts w:ascii="宋体" w:hAnsi="宋体"/>
          <w:b/>
          <w:sz w:val="24"/>
        </w:rPr>
      </w:pPr>
    </w:p>
    <w:p>
      <w:pPr>
        <w:spacing w:line="288" w:lineRule="auto"/>
        <w:ind w:left="272" w:hanging="272" w:hangingChars="113"/>
        <w:outlineLvl w:val="1"/>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服务</w:t>
      </w:r>
      <w:r>
        <w:rPr>
          <w:rFonts w:ascii="宋体" w:hAnsi="宋体"/>
          <w:b/>
          <w:sz w:val="24"/>
        </w:rPr>
        <w:t>要求</w:t>
      </w:r>
      <w:r>
        <w:rPr>
          <w:rFonts w:hint="eastAsia" w:ascii="宋体" w:hAnsi="宋体"/>
          <w:b/>
          <w:spacing w:val="-6"/>
          <w:sz w:val="24"/>
        </w:rPr>
        <w:t>（技术要求里另有注明的以技术要求为准）</w:t>
      </w:r>
      <w:r>
        <w:rPr>
          <w:rFonts w:ascii="宋体" w:hAnsi="宋体"/>
          <w:b/>
          <w:sz w:val="24"/>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免费质保服务3年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cs="宋体"/>
                <w:b/>
                <w:bCs/>
                <w:sz w:val="21"/>
                <w:szCs w:val="21"/>
              </w:rPr>
              <w:t>交付时间和地点</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交付时间：签订合同后的</w:t>
            </w:r>
            <w:r>
              <w:rPr>
                <w:rFonts w:ascii="宋体" w:hAnsi="宋体" w:cs="宋体"/>
                <w:sz w:val="21"/>
                <w:szCs w:val="21"/>
              </w:rPr>
              <w:t>4</w:t>
            </w:r>
            <w:r>
              <w:rPr>
                <w:rFonts w:hint="eastAsia" w:ascii="宋体" w:hAnsi="宋体" w:cs="宋体"/>
                <w:sz w:val="21"/>
                <w:szCs w:val="21"/>
              </w:rPr>
              <w:t>个月完成平台的开发和部署，并开始上线运行。</w:t>
            </w:r>
          </w:p>
          <w:p>
            <w:pPr>
              <w:rPr>
                <w:rFonts w:ascii="宋体" w:hAnsi="宋体"/>
                <w:spacing w:val="-6"/>
                <w:sz w:val="21"/>
                <w:szCs w:val="21"/>
              </w:rPr>
            </w:pPr>
            <w:r>
              <w:rPr>
                <w:rFonts w:hint="eastAsia" w:ascii="宋体" w:hAnsi="宋体" w:cs="宋体"/>
                <w:sz w:val="21"/>
                <w:szCs w:val="21"/>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cs="宋体"/>
                <w:b/>
                <w:bCs/>
                <w:sz w:val="21"/>
                <w:szCs w:val="21"/>
              </w:rPr>
              <w:t>服务标准</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1.免费维护期内因不能排除的故障而影响工作的情况每发生一次，其免费维护期相应延长60天，免费维护期内因货物本身缺陷造成各种故障应由中标人免费予以更换，否则将扣除</w:t>
            </w:r>
            <w:r>
              <w:rPr>
                <w:rFonts w:hint="eastAsia" w:ascii="宋体" w:hAnsi="宋体"/>
                <w:spacing w:val="-6"/>
                <w:sz w:val="21"/>
                <w:szCs w:val="21"/>
              </w:rPr>
              <w:t>质保金</w:t>
            </w:r>
            <w:r>
              <w:rPr>
                <w:rFonts w:hint="eastAsia" w:ascii="宋体" w:hAnsi="宋体" w:cs="宋体"/>
                <w:sz w:val="21"/>
                <w:szCs w:val="21"/>
              </w:rPr>
              <w:t>作为对采购人的补偿。</w:t>
            </w:r>
          </w:p>
          <w:p>
            <w:pPr>
              <w:rPr>
                <w:rFonts w:ascii="宋体" w:hAnsi="宋体" w:cs="宋体"/>
                <w:sz w:val="21"/>
                <w:szCs w:val="21"/>
              </w:rPr>
            </w:pPr>
            <w:r>
              <w:rPr>
                <w:rFonts w:hint="eastAsia" w:ascii="宋体" w:hAnsi="宋体" w:cs="宋体"/>
                <w:sz w:val="21"/>
                <w:szCs w:val="21"/>
              </w:rPr>
              <w:t>2.质保期满后，实行有偿服务，仅收取成本费（按一定折扣的优惠价格，注明折扣率），免人工费、差旅费，所涉及软件终身免费升级。投标人应列出易损件清单，包括名称、安装部位、更换周期和价格。</w:t>
            </w:r>
          </w:p>
          <w:p>
            <w:pPr>
              <w:rPr>
                <w:rFonts w:ascii="宋体" w:hAnsi="宋体"/>
                <w:spacing w:val="-6"/>
                <w:sz w:val="21"/>
                <w:szCs w:val="21"/>
              </w:rPr>
            </w:pPr>
            <w:r>
              <w:rPr>
                <w:rFonts w:ascii="宋体" w:hAnsi="宋体" w:cs="宋体"/>
                <w:sz w:val="21"/>
                <w:szCs w:val="21"/>
              </w:rPr>
              <w:t>3</w:t>
            </w:r>
            <w:r>
              <w:rPr>
                <w:rFonts w:hint="eastAsia" w:ascii="宋体" w:hAnsi="宋体" w:cs="宋体"/>
                <w:sz w:val="21"/>
                <w:szCs w:val="21"/>
              </w:rPr>
              <w:t>.提供完整的项目实施方案，培训方案及技术支持与服务、平台使用答疑及其他技术协助，快速响应解决客户在使用中碰到的问题。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b/>
                <w:spacing w:val="-6"/>
                <w:sz w:val="21"/>
                <w:szCs w:val="21"/>
              </w:rPr>
              <w:t xml:space="preserve"> ▲</w:t>
            </w:r>
            <w:r>
              <w:rPr>
                <w:rFonts w:hint="eastAsia" w:ascii="宋体" w:hAnsi="宋体" w:cs="宋体"/>
                <w:sz w:val="21"/>
                <w:szCs w:val="21"/>
              </w:rPr>
              <w:t>开发：本项目的核心开发、需求分析及实施人员（不少于</w:t>
            </w:r>
            <w:r>
              <w:rPr>
                <w:rFonts w:ascii="宋体" w:hAnsi="宋体" w:cs="宋体"/>
                <w:sz w:val="21"/>
                <w:szCs w:val="21"/>
              </w:rPr>
              <w:t>5</w:t>
            </w:r>
            <w:r>
              <w:rPr>
                <w:rFonts w:hint="eastAsia" w:ascii="宋体" w:hAnsi="宋体" w:cs="宋体"/>
                <w:sz w:val="21"/>
                <w:szCs w:val="21"/>
              </w:rPr>
              <w:t>人）在项目开发期间需要在招标人办公地点驻场开发到项目验收；</w:t>
            </w:r>
          </w:p>
          <w:p>
            <w:pPr>
              <w:rPr>
                <w:rFonts w:ascii="宋体" w:hAnsi="宋体" w:cs="宋体"/>
                <w:sz w:val="21"/>
                <w:szCs w:val="21"/>
              </w:rPr>
            </w:pPr>
            <w:r>
              <w:rPr>
                <w:rFonts w:ascii="宋体" w:hAnsi="宋体" w:cs="宋体"/>
                <w:sz w:val="21"/>
                <w:szCs w:val="21"/>
              </w:rPr>
              <w:t>2</w:t>
            </w:r>
            <w:r>
              <w:rPr>
                <w:rFonts w:hint="eastAsia" w:ascii="宋体" w:hAnsi="宋体" w:cs="宋体"/>
                <w:sz w:val="21"/>
                <w:szCs w:val="21"/>
              </w:rPr>
              <w:t>.培训：</w:t>
            </w:r>
          </w:p>
          <w:p>
            <w:pPr>
              <w:rPr>
                <w:rFonts w:ascii="宋体" w:hAnsi="宋体" w:cs="宋体"/>
                <w:sz w:val="21"/>
                <w:szCs w:val="21"/>
              </w:rPr>
            </w:pPr>
            <w:r>
              <w:rPr>
                <w:rFonts w:ascii="宋体" w:hAnsi="宋体" w:cs="宋体"/>
                <w:sz w:val="21"/>
                <w:szCs w:val="21"/>
              </w:rPr>
              <w:t>2</w:t>
            </w:r>
            <w:r>
              <w:rPr>
                <w:rFonts w:hint="eastAsia" w:ascii="宋体" w:hAnsi="宋体" w:cs="宋体"/>
                <w:sz w:val="21"/>
                <w:szCs w:val="21"/>
              </w:rPr>
              <w:t>.1 中标人应对采购人的操作人员、维修人员免费进行培训。</w:t>
            </w:r>
          </w:p>
          <w:p>
            <w:pPr>
              <w:rPr>
                <w:rFonts w:ascii="宋体" w:hAnsi="宋体" w:cs="宋体"/>
                <w:sz w:val="21"/>
                <w:szCs w:val="21"/>
              </w:rPr>
            </w:pPr>
            <w:r>
              <w:rPr>
                <w:rFonts w:ascii="宋体" w:hAnsi="宋体" w:cs="宋体"/>
                <w:sz w:val="21"/>
                <w:szCs w:val="21"/>
              </w:rPr>
              <w:t>2</w:t>
            </w:r>
            <w:r>
              <w:rPr>
                <w:rFonts w:hint="eastAsia" w:ascii="宋体" w:hAnsi="宋体" w:cs="宋体"/>
                <w:sz w:val="21"/>
                <w:szCs w:val="21"/>
              </w:rPr>
              <w:t>.2 中标人应提供相应的培训计划。</w:t>
            </w:r>
          </w:p>
          <w:p>
            <w:pPr>
              <w:rPr>
                <w:rFonts w:ascii="宋体" w:hAnsi="宋体" w:cs="宋体"/>
                <w:sz w:val="21"/>
                <w:szCs w:val="21"/>
              </w:rPr>
            </w:pPr>
            <w:r>
              <w:rPr>
                <w:rFonts w:ascii="宋体" w:hAnsi="宋体" w:cs="宋体"/>
                <w:sz w:val="21"/>
                <w:szCs w:val="21"/>
              </w:rPr>
              <w:t>2</w:t>
            </w:r>
            <w:r>
              <w:rPr>
                <w:rFonts w:hint="eastAsia" w:ascii="宋体" w:hAnsi="宋体" w:cs="宋体"/>
                <w:sz w:val="21"/>
                <w:szCs w:val="21"/>
              </w:rPr>
              <w:t>.3 投标人应对上述内容的实现方式、地点、人数、时间在投标文件中详细说明。</w:t>
            </w:r>
          </w:p>
          <w:p>
            <w:pPr>
              <w:rPr>
                <w:rFonts w:ascii="宋体" w:hAnsi="宋体" w:cs="宋体"/>
                <w:sz w:val="21"/>
                <w:szCs w:val="21"/>
              </w:rPr>
            </w:pPr>
            <w:r>
              <w:rPr>
                <w:rFonts w:ascii="宋体" w:hAnsi="宋体" w:cs="宋体"/>
                <w:sz w:val="21"/>
                <w:szCs w:val="21"/>
              </w:rPr>
              <w:t>3</w:t>
            </w:r>
            <w:r>
              <w:rPr>
                <w:rFonts w:hint="eastAsia" w:ascii="宋体" w:hAnsi="宋体" w:cs="宋体"/>
                <w:sz w:val="21"/>
                <w:szCs w:val="21"/>
              </w:rPr>
              <w:t>.技术支持：</w:t>
            </w:r>
          </w:p>
          <w:p>
            <w:pPr>
              <w:rPr>
                <w:rFonts w:ascii="宋体" w:hAnsi="宋体" w:cs="宋体"/>
                <w:sz w:val="21"/>
                <w:szCs w:val="21"/>
              </w:rPr>
            </w:pPr>
            <w:r>
              <w:rPr>
                <w:rFonts w:hint="eastAsia" w:ascii="宋体" w:hAnsi="宋体" w:cs="宋体"/>
                <w:sz w:val="21"/>
                <w:szCs w:val="21"/>
              </w:rPr>
              <w:t>中标人应及时免费提供合同货物软件的升级，免费提供合同货物新功能和应用的资料。</w:t>
            </w:r>
          </w:p>
          <w:p>
            <w:pPr>
              <w:rPr>
                <w:rFonts w:ascii="宋体" w:hAnsi="宋体" w:cs="宋体"/>
                <w:sz w:val="21"/>
                <w:szCs w:val="21"/>
              </w:rPr>
            </w:pPr>
            <w:r>
              <w:rPr>
                <w:rFonts w:ascii="宋体" w:hAnsi="宋体" w:cs="宋体"/>
                <w:sz w:val="21"/>
                <w:szCs w:val="21"/>
              </w:rPr>
              <w:t>4</w:t>
            </w:r>
            <w:r>
              <w:rPr>
                <w:rFonts w:hint="eastAsia" w:ascii="宋体" w:hAnsi="宋体" w:cs="宋体"/>
                <w:sz w:val="21"/>
                <w:szCs w:val="21"/>
              </w:rPr>
              <w:t>.安装调试（若需要安装调试）：</w:t>
            </w:r>
          </w:p>
          <w:p>
            <w:pPr>
              <w:rPr>
                <w:rFonts w:ascii="宋体" w:hAnsi="宋体" w:cs="宋体"/>
                <w:sz w:val="21"/>
                <w:szCs w:val="21"/>
              </w:rPr>
            </w:pPr>
            <w:r>
              <w:rPr>
                <w:rFonts w:ascii="宋体" w:hAnsi="宋体" w:cs="宋体"/>
                <w:sz w:val="21"/>
                <w:szCs w:val="21"/>
              </w:rPr>
              <w:t>4</w:t>
            </w:r>
            <w:r>
              <w:rPr>
                <w:rFonts w:hint="eastAsia" w:ascii="宋体" w:hAnsi="宋体" w:cs="宋体"/>
                <w:sz w:val="21"/>
                <w:szCs w:val="21"/>
              </w:rPr>
              <w:t>.1 安装地点：采购人指定地点。</w:t>
            </w:r>
          </w:p>
          <w:p>
            <w:pPr>
              <w:rPr>
                <w:rFonts w:ascii="宋体" w:hAnsi="宋体" w:cs="宋体"/>
                <w:sz w:val="21"/>
                <w:szCs w:val="21"/>
              </w:rPr>
            </w:pPr>
            <w:r>
              <w:rPr>
                <w:rFonts w:ascii="宋体" w:hAnsi="宋体" w:cs="宋体"/>
                <w:sz w:val="21"/>
                <w:szCs w:val="21"/>
              </w:rPr>
              <w:t>4</w:t>
            </w:r>
            <w:r>
              <w:rPr>
                <w:rFonts w:hint="eastAsia" w:ascii="宋体" w:hAnsi="宋体" w:cs="宋体"/>
                <w:sz w:val="21"/>
                <w:szCs w:val="21"/>
              </w:rPr>
              <w:t>.2 安装完成时间：接到采购人通知后在5日内完成安装和调试，如在规定的时间内由于中标人的原因不能完成安装和调试，中标人应承担由此给采购人造成的损失。</w:t>
            </w:r>
          </w:p>
          <w:p>
            <w:pPr>
              <w:rPr>
                <w:rFonts w:ascii="宋体" w:hAnsi="宋体" w:cs="宋体"/>
                <w:sz w:val="21"/>
                <w:szCs w:val="21"/>
              </w:rPr>
            </w:pPr>
            <w:r>
              <w:rPr>
                <w:rFonts w:ascii="宋体" w:hAnsi="宋体" w:cs="宋体"/>
                <w:sz w:val="21"/>
                <w:szCs w:val="21"/>
              </w:rPr>
              <w:t>4</w:t>
            </w:r>
            <w:r>
              <w:rPr>
                <w:rFonts w:hint="eastAsia" w:ascii="宋体" w:hAnsi="宋体" w:cs="宋体"/>
                <w:sz w:val="21"/>
                <w:szCs w:val="21"/>
              </w:rPr>
              <w:t>.3 安装标准：符合我国国家有关技术规范要求和技术标准，所有的软件和硬件必须保证同时安装到位。</w:t>
            </w:r>
          </w:p>
          <w:p>
            <w:pPr>
              <w:rPr>
                <w:rFonts w:ascii="宋体" w:hAnsi="宋体" w:cs="宋体"/>
                <w:sz w:val="21"/>
                <w:szCs w:val="21"/>
              </w:rPr>
            </w:pPr>
            <w:r>
              <w:rPr>
                <w:rFonts w:ascii="宋体" w:hAnsi="宋体" w:cs="宋体"/>
                <w:sz w:val="21"/>
                <w:szCs w:val="21"/>
              </w:rPr>
              <w:t>4</w:t>
            </w:r>
            <w:r>
              <w:rPr>
                <w:rFonts w:hint="eastAsia" w:ascii="宋体" w:hAnsi="宋体" w:cs="宋体"/>
                <w:sz w:val="21"/>
                <w:szCs w:val="21"/>
              </w:rPr>
              <w:t>.4 中标人免费提供合同货物的安装服务。</w:t>
            </w:r>
          </w:p>
          <w:p>
            <w:pPr>
              <w:rPr>
                <w:rFonts w:ascii="宋体" w:hAnsi="宋体" w:cs="宋体"/>
                <w:sz w:val="21"/>
                <w:szCs w:val="21"/>
              </w:rPr>
            </w:pPr>
            <w:r>
              <w:rPr>
                <w:rFonts w:ascii="宋体" w:hAnsi="宋体" w:cs="宋体"/>
                <w:sz w:val="21"/>
                <w:szCs w:val="21"/>
              </w:rPr>
              <w:t>4</w:t>
            </w:r>
            <w:r>
              <w:rPr>
                <w:rFonts w:hint="eastAsia" w:ascii="宋体" w:hAnsi="宋体" w:cs="宋体"/>
                <w:sz w:val="21"/>
                <w:szCs w:val="21"/>
              </w:rPr>
              <w:t>.5 投标人在投标文件中应提供安装调试计划、对安装场地和环境的要求。</w:t>
            </w:r>
          </w:p>
          <w:p>
            <w:pPr>
              <w:rPr>
                <w:rFonts w:ascii="宋体" w:hAnsi="宋体" w:cs="宋体"/>
                <w:sz w:val="21"/>
                <w:szCs w:val="21"/>
              </w:rPr>
            </w:pPr>
            <w:r>
              <w:rPr>
                <w:rFonts w:ascii="宋体" w:hAnsi="宋体" w:cs="宋体"/>
                <w:sz w:val="21"/>
                <w:szCs w:val="21"/>
              </w:rPr>
              <w:t>5</w:t>
            </w:r>
            <w:r>
              <w:rPr>
                <w:rFonts w:hint="eastAsia" w:ascii="宋体" w:hAnsi="宋体" w:cs="宋体"/>
                <w:sz w:val="21"/>
                <w:szCs w:val="21"/>
              </w:rPr>
              <w:t>.备品备件及耗材：投标人应提供质保期满后主要零部件报价单、质保期满后维护费、软件升级及其相关服务内容。</w:t>
            </w:r>
          </w:p>
          <w:p>
            <w:pPr>
              <w:rPr>
                <w:rFonts w:ascii="宋体" w:hAnsi="宋体"/>
                <w:sz w:val="21"/>
                <w:szCs w:val="21"/>
              </w:rPr>
            </w:pPr>
            <w:r>
              <w:rPr>
                <w:rFonts w:ascii="宋体" w:hAnsi="宋体" w:cs="宋体"/>
                <w:sz w:val="21"/>
                <w:szCs w:val="21"/>
              </w:rPr>
              <w:t>6</w:t>
            </w:r>
            <w:r>
              <w:rPr>
                <w:rFonts w:hint="eastAsia" w:ascii="宋体" w:hAnsi="宋体" w:cs="宋体"/>
                <w:sz w:val="21"/>
                <w:szCs w:val="21"/>
              </w:rPr>
              <w:t>.供货时提供有关的全套技术文件。</w:t>
            </w:r>
          </w:p>
        </w:tc>
      </w:tr>
    </w:tbl>
    <w:p>
      <w:pPr>
        <w:spacing w:line="288" w:lineRule="auto"/>
        <w:ind w:left="272" w:hanging="272" w:hangingChars="113"/>
        <w:rPr>
          <w:rFonts w:ascii="宋体" w:hAnsi="宋体"/>
          <w:b/>
          <w:sz w:val="24"/>
        </w:rPr>
      </w:pPr>
    </w:p>
    <w:p>
      <w:pPr>
        <w:spacing w:line="288" w:lineRule="auto"/>
        <w:ind w:left="272" w:hanging="272" w:hangingChars="113"/>
        <w:outlineLvl w:val="1"/>
        <w:rPr>
          <w:rFonts w:ascii="宋体" w:hAnsi="宋体"/>
          <w:b/>
          <w:sz w:val="24"/>
        </w:rPr>
      </w:pPr>
      <w:r>
        <w:rPr>
          <w:rFonts w:hint="eastAsia" w:ascii="宋体" w:hAnsi="宋体"/>
          <w:b/>
          <w:sz w:val="24"/>
        </w:rPr>
        <w:t>四</w:t>
      </w:r>
      <w:r>
        <w:rPr>
          <w:rFonts w:ascii="宋体" w:hAnsi="宋体"/>
          <w:b/>
          <w:sz w:val="24"/>
        </w:rPr>
        <w:t>、技术要求</w:t>
      </w:r>
    </w:p>
    <w:p>
      <w:pPr>
        <w:spacing w:line="288" w:lineRule="auto"/>
        <w:rPr>
          <w:rFonts w:ascii="宋体" w:hAnsi="宋体"/>
          <w:sz w:val="21"/>
          <w:szCs w:val="21"/>
        </w:rPr>
      </w:pPr>
      <w:r>
        <w:rPr>
          <w:rFonts w:hint="eastAsia" w:ascii="宋体" w:hAnsi="宋体"/>
          <w:sz w:val="21"/>
          <w:szCs w:val="21"/>
        </w:rPr>
        <w:t>采购标的对应的中小企业划分标准所属行业：软件和信息技术服务业。</w:t>
      </w:r>
    </w:p>
    <w:p>
      <w:pPr>
        <w:adjustRightInd w:val="0"/>
        <w:snapToGrid w:val="0"/>
        <w:spacing w:line="288" w:lineRule="auto"/>
        <w:rPr>
          <w:rFonts w:ascii="宋体" w:hAnsi="宋体"/>
          <w:b/>
          <w:sz w:val="21"/>
          <w:szCs w:val="21"/>
        </w:rPr>
      </w:pPr>
      <w:r>
        <w:rPr>
          <w:rFonts w:hint="eastAsia" w:ascii="宋体" w:hAnsi="宋体"/>
          <w:b/>
          <w:sz w:val="21"/>
          <w:szCs w:val="21"/>
        </w:rPr>
        <w:t>项目概况</w:t>
      </w:r>
    </w:p>
    <w:p>
      <w:pPr>
        <w:adjustRightInd w:val="0"/>
        <w:snapToGrid w:val="0"/>
        <w:spacing w:line="288" w:lineRule="auto"/>
        <w:jc w:val="left"/>
        <w:rPr>
          <w:rFonts w:ascii="宋体" w:hAnsi="宋体"/>
          <w:b/>
          <w:bCs/>
          <w:sz w:val="21"/>
          <w:szCs w:val="21"/>
        </w:rPr>
      </w:pPr>
      <w:r>
        <w:rPr>
          <w:rFonts w:hint="eastAsia" w:ascii="宋体" w:hAnsi="宋体"/>
          <w:b/>
          <w:bCs/>
          <w:sz w:val="21"/>
          <w:szCs w:val="21"/>
        </w:rPr>
        <w:t>（一）平台建设概述</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围绕国务院印发《</w:t>
      </w:r>
      <w:r>
        <w:rPr>
          <w:rFonts w:ascii="宋体" w:hAnsi="宋体"/>
          <w:bCs/>
          <w:sz w:val="21"/>
          <w:szCs w:val="21"/>
        </w:rPr>
        <w:t>深化新时代教育评价改革总体方案</w:t>
      </w:r>
      <w:r>
        <w:rPr>
          <w:rFonts w:hint="eastAsia" w:ascii="宋体" w:hAnsi="宋体"/>
          <w:bCs/>
          <w:sz w:val="21"/>
          <w:szCs w:val="21"/>
        </w:rPr>
        <w:t>》的主要精神，以数字信息化手段，支持和服务于“坚持以德为先、能力为重、全面发展，坚决改变用分数给学生贴标签的做法，创新德智体美劳过程性评价办法，完善综合素质评价体系”的改革发展要求，落实课程评价改革。同时结合《浙大城市学院关于全面深化本科教育教学改革的若干意见》中关于</w:t>
      </w:r>
      <w:r>
        <w:rPr>
          <w:rFonts w:ascii="宋体" w:hAnsi="宋体"/>
          <w:bCs/>
          <w:sz w:val="21"/>
          <w:szCs w:val="21"/>
        </w:rPr>
        <w:t>学生中心，产出导向，健全教学质量持续改进机制</w:t>
      </w:r>
      <w:r>
        <w:rPr>
          <w:rFonts w:hint="eastAsia" w:ascii="宋体" w:hAnsi="宋体"/>
          <w:bCs/>
          <w:sz w:val="21"/>
          <w:szCs w:val="21"/>
        </w:rPr>
        <w:t>的重要目标，遵循专业认证标准，基于OBE教育理念，重构各专业人才培养模式改革，创建以课程评价为核心的数字化治理体系。核心的建设内容包括建立基于学生产出的多级目标体系，并且能够建立基于目标体系的达成度支持工具。围绕课外学习环境和课内教学过程建立一些列的创新工具，完成过程支撑和数据汇集，并收集管理课程资料，最终完善过程教育的全生命周期的数据记录。基于数据建立全面校、院、专业、课程的多级达成度评估办法，形成多维度的分析评价能力。</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最终围绕我校数字治理的总体规划建立数字化治理为基础，学生达成度为抓手，支持持续改进的课程评价机制，完善校院两级质量保障体系；</w:t>
      </w:r>
    </w:p>
    <w:p>
      <w:pPr>
        <w:adjustRightInd w:val="0"/>
        <w:snapToGrid w:val="0"/>
        <w:spacing w:line="288" w:lineRule="auto"/>
        <w:jc w:val="left"/>
        <w:rPr>
          <w:rFonts w:ascii="宋体" w:hAnsi="宋体"/>
          <w:b/>
          <w:bCs/>
          <w:sz w:val="21"/>
          <w:szCs w:val="21"/>
        </w:rPr>
      </w:pPr>
      <w:r>
        <w:rPr>
          <w:rFonts w:hint="eastAsia" w:ascii="宋体" w:hAnsi="宋体"/>
          <w:b/>
          <w:bCs/>
          <w:sz w:val="21"/>
          <w:szCs w:val="21"/>
        </w:rPr>
        <w:t>（二）学生</w:t>
      </w:r>
    </w:p>
    <w:p>
      <w:pPr>
        <w:pStyle w:val="4"/>
        <w:numPr>
          <w:ilvl w:val="0"/>
          <w:numId w:val="1"/>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学生课外数据支撑</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支持建立以学生课外素质、能力为导向的各种数据的汇集能力，并且可以结合学校学生的培养目标进行指标分解，方便的提供各种学生过程性数据进行分类和评估。支持随时扩充学生课外数据的类型，并且能跳转课外数据类型的评价计分方式和权重。支持建立专业建设和学生工作之间的协作机制。</w:t>
      </w:r>
    </w:p>
    <w:p>
      <w:pPr>
        <w:pStyle w:val="4"/>
        <w:numPr>
          <w:ilvl w:val="0"/>
          <w:numId w:val="1"/>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学生指导各种制度管理</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支持学生指导制度的管理，并配合学生指导制度提供相应的制度下发和通知机制，并对制度的执行能快速提供数据分析并反馈的基础功能。</w:t>
      </w:r>
    </w:p>
    <w:p>
      <w:pPr>
        <w:pStyle w:val="4"/>
        <w:numPr>
          <w:ilvl w:val="0"/>
          <w:numId w:val="1"/>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学生形成性评价制度管理</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支持学生形成性评价制度的管理，并配合学生形成性评价提供相应的制度下发和通知机制。同时支持基于课外、课内各项教育活动的数据汇集和评价功能。可以建立课外、课内数据的融通机制，并能配合形成性评价制度提供评价工具。</w:t>
      </w:r>
    </w:p>
    <w:p>
      <w:pPr>
        <w:pStyle w:val="4"/>
        <w:numPr>
          <w:ilvl w:val="0"/>
          <w:numId w:val="1"/>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转专业学分认定制度</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对接专业培养计划和教务课程数据，可以对转专业学生的各种课程学分进行认定支持。支持的内容包括建立课程映射，认定流程等功能。并且在转专业的情况下同样支持学生形成性评价的延续性，也能形成对应的达成度评估的完整结果。</w:t>
      </w:r>
    </w:p>
    <w:p>
      <w:pPr>
        <w:adjustRightInd w:val="0"/>
        <w:snapToGrid w:val="0"/>
        <w:spacing w:line="288" w:lineRule="auto"/>
        <w:jc w:val="left"/>
        <w:rPr>
          <w:rFonts w:ascii="宋体" w:hAnsi="宋体"/>
          <w:b/>
          <w:sz w:val="21"/>
          <w:szCs w:val="21"/>
        </w:rPr>
      </w:pPr>
      <w:r>
        <w:rPr>
          <w:rFonts w:hint="eastAsia" w:ascii="宋体" w:hAnsi="宋体"/>
          <w:b/>
          <w:sz w:val="21"/>
          <w:szCs w:val="21"/>
        </w:rPr>
        <w:t>（三）培养目标</w:t>
      </w:r>
    </w:p>
    <w:p>
      <w:pPr>
        <w:pStyle w:val="4"/>
        <w:numPr>
          <w:ilvl w:val="0"/>
          <w:numId w:val="2"/>
        </w:numPr>
        <w:adjustRightInd w:val="0"/>
        <w:snapToGrid w:val="0"/>
        <w:spacing w:line="288" w:lineRule="auto"/>
        <w:ind w:firstLine="420"/>
        <w:jc w:val="left"/>
        <w:rPr>
          <w:rFonts w:ascii="宋体" w:hAnsi="宋体"/>
          <w:bCs/>
          <w:sz w:val="21"/>
          <w:szCs w:val="21"/>
        </w:rPr>
      </w:pPr>
      <w:r>
        <w:rPr>
          <w:rFonts w:hint="eastAsia" w:ascii="宋体" w:hAnsi="宋体"/>
          <w:bCs/>
          <w:sz w:val="21"/>
          <w:szCs w:val="21"/>
        </w:rPr>
        <w:t>培养目标的制定</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支持制定各个专业的培养目标，并且各个专业的培养目标可以按照年级进行修订。支持培养目标及制度措施的管理与下发机制。为培养目标评价机制中所需数据的汇集和计算提供灵活可配置的能力。</w:t>
      </w:r>
    </w:p>
    <w:p>
      <w:pPr>
        <w:adjustRightInd w:val="0"/>
        <w:snapToGrid w:val="0"/>
        <w:spacing w:line="288" w:lineRule="auto"/>
        <w:jc w:val="left"/>
        <w:rPr>
          <w:rFonts w:ascii="宋体" w:hAnsi="宋体"/>
          <w:b/>
          <w:sz w:val="21"/>
          <w:szCs w:val="21"/>
        </w:rPr>
      </w:pPr>
      <w:r>
        <w:rPr>
          <w:rFonts w:hint="eastAsia" w:ascii="宋体" w:hAnsi="宋体"/>
          <w:b/>
          <w:sz w:val="21"/>
          <w:szCs w:val="21"/>
        </w:rPr>
        <w:t>（四）毕业要求</w:t>
      </w:r>
    </w:p>
    <w:p>
      <w:pPr>
        <w:pStyle w:val="4"/>
        <w:numPr>
          <w:ilvl w:val="0"/>
          <w:numId w:val="3"/>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毕业要求制定及指标点分解</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支持灵活的毕业要求的制度及指标点分解功能，支持不同专业、不同年级制定不同的指标点功能，并且建立多级的数据汇总机制，提供课程体系分解指标和毕业要求的映射管理和分数汇总机制。</w:t>
      </w:r>
    </w:p>
    <w:p>
      <w:pPr>
        <w:pStyle w:val="4"/>
        <w:numPr>
          <w:ilvl w:val="0"/>
          <w:numId w:val="3"/>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课程体系分解及对应权重</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能提供基于毕业要求指标的课程体系的指标分解功能，开放相应的功能提供不同的课程负责人进行编辑协作。可以围绕课程体系的分解指标和毕业要求的映射，建立可调整可配置的权重设置功能，并提供课程体系和毕业要求之间达成度的映射计算。</w:t>
      </w:r>
    </w:p>
    <w:p>
      <w:pPr>
        <w:adjustRightInd w:val="0"/>
        <w:snapToGrid w:val="0"/>
        <w:spacing w:line="288" w:lineRule="auto"/>
        <w:jc w:val="left"/>
        <w:rPr>
          <w:rFonts w:ascii="宋体" w:hAnsi="宋体"/>
          <w:b/>
          <w:sz w:val="21"/>
          <w:szCs w:val="21"/>
        </w:rPr>
      </w:pPr>
      <w:r>
        <w:rPr>
          <w:rFonts w:hint="eastAsia" w:ascii="宋体" w:hAnsi="宋体"/>
          <w:b/>
          <w:sz w:val="21"/>
          <w:szCs w:val="21"/>
        </w:rPr>
        <w:t>（五）课程体系</w:t>
      </w:r>
    </w:p>
    <w:p>
      <w:pPr>
        <w:pStyle w:val="4"/>
        <w:numPr>
          <w:ilvl w:val="0"/>
          <w:numId w:val="4"/>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课程要求的制定与管理</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每门课程都要设置若干项课程目标；每项毕业要求对应若干种考核方式、且具有相应的权重；可以根据学生的明细考核成绩，获得相应课程目标的达成度；</w:t>
      </w:r>
    </w:p>
    <w:p>
      <w:pPr>
        <w:pStyle w:val="4"/>
        <w:numPr>
          <w:ilvl w:val="0"/>
          <w:numId w:val="4"/>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课程要求对毕业要求指标点的支撑关系</w:t>
      </w:r>
    </w:p>
    <w:p>
      <w:pPr>
        <w:adjustRightInd w:val="0"/>
        <w:snapToGrid w:val="0"/>
        <w:spacing w:line="288" w:lineRule="auto"/>
        <w:ind w:firstLine="420" w:firstLineChars="200"/>
        <w:jc w:val="left"/>
        <w:rPr>
          <w:rFonts w:ascii="宋体" w:hAnsi="宋体"/>
          <w:bCs/>
          <w:sz w:val="21"/>
          <w:szCs w:val="21"/>
        </w:rPr>
      </w:pPr>
      <w:r>
        <w:rPr>
          <w:rFonts w:ascii="宋体" w:hAnsi="宋体"/>
          <w:bCs/>
          <w:sz w:val="21"/>
          <w:szCs w:val="21"/>
        </w:rPr>
        <w:t>每门课程的课程目标都支撑若干个毕业要求指标点</w:t>
      </w:r>
      <w:r>
        <w:rPr>
          <w:rFonts w:hint="eastAsia" w:ascii="宋体" w:hAnsi="宋体"/>
          <w:bCs/>
          <w:sz w:val="21"/>
          <w:szCs w:val="21"/>
        </w:rPr>
        <w:t>；根据课程目标达成度，可以获得对应的毕业要求达成度。可以使用思维导图模式展开课程要求与毕业要求之间的支撑关系</w:t>
      </w:r>
    </w:p>
    <w:p>
      <w:pPr>
        <w:pStyle w:val="4"/>
        <w:numPr>
          <w:ilvl w:val="0"/>
          <w:numId w:val="4"/>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课程目标达成数据管理工具（学生细节数据录入及管理）</w:t>
      </w:r>
    </w:p>
    <w:p>
      <w:pPr>
        <w:adjustRightInd w:val="0"/>
        <w:snapToGrid w:val="0"/>
        <w:spacing w:line="288" w:lineRule="auto"/>
        <w:ind w:firstLine="420" w:firstLineChars="200"/>
        <w:jc w:val="left"/>
        <w:rPr>
          <w:rFonts w:ascii="宋体" w:hAnsi="宋体"/>
          <w:bCs/>
          <w:sz w:val="21"/>
          <w:szCs w:val="21"/>
        </w:rPr>
      </w:pPr>
      <w:r>
        <w:rPr>
          <w:rFonts w:ascii="宋体" w:hAnsi="宋体"/>
          <w:bCs/>
          <w:sz w:val="21"/>
          <w:szCs w:val="21"/>
        </w:rPr>
        <w:t>可以通过多种</w:t>
      </w:r>
      <w:r>
        <w:rPr>
          <w:rFonts w:hint="eastAsia" w:ascii="宋体" w:hAnsi="宋体"/>
          <w:bCs/>
          <w:sz w:val="21"/>
          <w:szCs w:val="21"/>
        </w:rPr>
        <w:t>便捷、有效</w:t>
      </w:r>
      <w:r>
        <w:rPr>
          <w:rFonts w:ascii="宋体" w:hAnsi="宋体"/>
          <w:bCs/>
          <w:sz w:val="21"/>
          <w:szCs w:val="21"/>
        </w:rPr>
        <w:t>的方式</w:t>
      </w:r>
      <w:r>
        <w:rPr>
          <w:rFonts w:hint="eastAsia" w:ascii="宋体" w:hAnsi="宋体"/>
          <w:bCs/>
          <w:sz w:val="21"/>
          <w:szCs w:val="21"/>
        </w:rPr>
        <w:t>，</w:t>
      </w:r>
      <w:r>
        <w:rPr>
          <w:rFonts w:ascii="宋体" w:hAnsi="宋体"/>
          <w:bCs/>
          <w:sz w:val="21"/>
          <w:szCs w:val="21"/>
        </w:rPr>
        <w:t>导入</w:t>
      </w:r>
      <w:r>
        <w:rPr>
          <w:rFonts w:hint="eastAsia" w:ascii="宋体" w:hAnsi="宋体"/>
          <w:bCs/>
          <w:sz w:val="21"/>
          <w:szCs w:val="21"/>
        </w:rPr>
        <w:t>并管理学生的每门课程的不同考核方式的成绩，支持外部数据同步及校验。</w:t>
      </w:r>
    </w:p>
    <w:p>
      <w:pPr>
        <w:pStyle w:val="4"/>
        <w:numPr>
          <w:ilvl w:val="0"/>
          <w:numId w:val="4"/>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课程目标达成度计算</w:t>
      </w:r>
    </w:p>
    <w:p>
      <w:pPr>
        <w:adjustRightInd w:val="0"/>
        <w:snapToGrid w:val="0"/>
        <w:spacing w:line="288" w:lineRule="auto"/>
        <w:ind w:firstLine="420" w:firstLineChars="200"/>
        <w:jc w:val="left"/>
        <w:rPr>
          <w:rFonts w:ascii="宋体" w:hAnsi="宋体"/>
          <w:bCs/>
          <w:sz w:val="21"/>
          <w:szCs w:val="21"/>
        </w:rPr>
      </w:pPr>
      <w:r>
        <w:rPr>
          <w:rFonts w:ascii="宋体" w:hAnsi="宋体"/>
          <w:bCs/>
          <w:sz w:val="21"/>
          <w:szCs w:val="21"/>
        </w:rPr>
        <w:t>根据课程目标</w:t>
      </w:r>
      <w:r>
        <w:rPr>
          <w:rFonts w:hint="eastAsia" w:ascii="宋体" w:hAnsi="宋体"/>
          <w:bCs/>
          <w:sz w:val="21"/>
          <w:szCs w:val="21"/>
        </w:rPr>
        <w:t>，</w:t>
      </w:r>
      <w:r>
        <w:rPr>
          <w:rFonts w:ascii="宋体" w:hAnsi="宋体"/>
          <w:bCs/>
          <w:sz w:val="21"/>
          <w:szCs w:val="21"/>
        </w:rPr>
        <w:t>考核类型</w:t>
      </w:r>
      <w:r>
        <w:rPr>
          <w:rFonts w:hint="eastAsia" w:ascii="宋体" w:hAnsi="宋体"/>
          <w:bCs/>
          <w:sz w:val="21"/>
          <w:szCs w:val="21"/>
        </w:rPr>
        <w:t>，</w:t>
      </w:r>
      <w:r>
        <w:rPr>
          <w:rFonts w:ascii="宋体" w:hAnsi="宋体"/>
          <w:bCs/>
          <w:sz w:val="21"/>
          <w:szCs w:val="21"/>
        </w:rPr>
        <w:t>考核成绩等要素</w:t>
      </w:r>
      <w:r>
        <w:rPr>
          <w:rFonts w:hint="eastAsia" w:ascii="宋体" w:hAnsi="宋体"/>
          <w:bCs/>
          <w:sz w:val="21"/>
          <w:szCs w:val="21"/>
        </w:rPr>
        <w:t>，</w:t>
      </w:r>
      <w:r>
        <w:rPr>
          <w:rFonts w:ascii="宋体" w:hAnsi="宋体"/>
          <w:bCs/>
          <w:sz w:val="21"/>
          <w:szCs w:val="21"/>
        </w:rPr>
        <w:t>计算课程目标达成度</w:t>
      </w:r>
      <w:r>
        <w:rPr>
          <w:rFonts w:hint="eastAsia" w:ascii="宋体" w:hAnsi="宋体"/>
          <w:bCs/>
          <w:sz w:val="21"/>
          <w:szCs w:val="21"/>
        </w:rPr>
        <w:t>；从学生、课程、年级等维度，获得统计数据。</w:t>
      </w:r>
    </w:p>
    <w:p>
      <w:pPr>
        <w:pStyle w:val="4"/>
        <w:numPr>
          <w:ilvl w:val="0"/>
          <w:numId w:val="4"/>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课程支撑毕业目标达成度计算</w:t>
      </w:r>
    </w:p>
    <w:p>
      <w:pPr>
        <w:adjustRightInd w:val="0"/>
        <w:snapToGrid w:val="0"/>
        <w:spacing w:line="288" w:lineRule="auto"/>
        <w:ind w:firstLine="420" w:firstLineChars="200"/>
        <w:jc w:val="left"/>
        <w:rPr>
          <w:rFonts w:ascii="宋体" w:hAnsi="宋体"/>
          <w:bCs/>
          <w:sz w:val="21"/>
          <w:szCs w:val="21"/>
        </w:rPr>
      </w:pPr>
      <w:r>
        <w:rPr>
          <w:rFonts w:ascii="宋体" w:hAnsi="宋体"/>
          <w:bCs/>
          <w:sz w:val="21"/>
          <w:szCs w:val="21"/>
        </w:rPr>
        <w:t>根据课程目标达成度数据</w:t>
      </w:r>
      <w:r>
        <w:rPr>
          <w:rFonts w:hint="eastAsia" w:ascii="宋体" w:hAnsi="宋体"/>
          <w:bCs/>
          <w:sz w:val="21"/>
          <w:szCs w:val="21"/>
        </w:rPr>
        <w:t>、课程目标与毕业要求指标点对应关系，计算毕业要求达成度；从学生、课程、年级等维度，获得统计数据。</w:t>
      </w:r>
    </w:p>
    <w:p>
      <w:pPr>
        <w:pStyle w:val="4"/>
        <w:numPr>
          <w:ilvl w:val="0"/>
          <w:numId w:val="4"/>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过程文件管理</w:t>
      </w:r>
    </w:p>
    <w:p>
      <w:pPr>
        <w:adjustRightInd w:val="0"/>
        <w:snapToGrid w:val="0"/>
        <w:spacing w:line="288" w:lineRule="auto"/>
        <w:ind w:firstLine="420" w:firstLineChars="200"/>
        <w:jc w:val="left"/>
        <w:rPr>
          <w:rFonts w:ascii="宋体" w:hAnsi="宋体"/>
          <w:bCs/>
          <w:sz w:val="21"/>
          <w:szCs w:val="21"/>
        </w:rPr>
      </w:pPr>
      <w:r>
        <w:rPr>
          <w:rFonts w:ascii="宋体" w:hAnsi="宋体"/>
          <w:bCs/>
          <w:sz w:val="21"/>
          <w:szCs w:val="21"/>
        </w:rPr>
        <w:t>管理教学过程中生成的文件</w:t>
      </w:r>
      <w:r>
        <w:rPr>
          <w:rFonts w:hint="eastAsia" w:ascii="宋体" w:hAnsi="宋体"/>
          <w:bCs/>
          <w:sz w:val="21"/>
          <w:szCs w:val="21"/>
        </w:rPr>
        <w:t>，</w:t>
      </w:r>
      <w:r>
        <w:rPr>
          <w:rFonts w:ascii="宋体" w:hAnsi="宋体"/>
          <w:bCs/>
          <w:sz w:val="21"/>
          <w:szCs w:val="21"/>
        </w:rPr>
        <w:t>包括</w:t>
      </w:r>
      <w:r>
        <w:rPr>
          <w:rFonts w:hint="eastAsia" w:ascii="宋体" w:hAnsi="宋体"/>
          <w:bCs/>
          <w:sz w:val="21"/>
          <w:szCs w:val="21"/>
        </w:rPr>
        <w:t>：</w:t>
      </w:r>
      <w:r>
        <w:rPr>
          <w:rFonts w:ascii="宋体" w:hAnsi="宋体"/>
          <w:bCs/>
          <w:sz w:val="21"/>
          <w:szCs w:val="21"/>
        </w:rPr>
        <w:t>课程简介</w:t>
      </w:r>
      <w:r>
        <w:rPr>
          <w:rFonts w:hint="eastAsia" w:ascii="宋体" w:hAnsi="宋体"/>
          <w:bCs/>
          <w:sz w:val="21"/>
          <w:szCs w:val="21"/>
        </w:rPr>
        <w:t>、</w:t>
      </w:r>
      <w:r>
        <w:rPr>
          <w:rFonts w:ascii="宋体" w:hAnsi="宋体"/>
          <w:bCs/>
          <w:sz w:val="21"/>
          <w:szCs w:val="21"/>
        </w:rPr>
        <w:t>教学大纲</w:t>
      </w:r>
      <w:r>
        <w:rPr>
          <w:rFonts w:hint="eastAsia" w:ascii="宋体" w:hAnsi="宋体"/>
          <w:bCs/>
          <w:sz w:val="21"/>
          <w:szCs w:val="21"/>
        </w:rPr>
        <w:t>、教学计划进度表、命题计划书、试卷分析报告、毕业要求指标点达成度评价表、课程目标达成度评价表、课程考核合理性确认表等。</w:t>
      </w:r>
    </w:p>
    <w:p>
      <w:pPr>
        <w:pStyle w:val="4"/>
        <w:numPr>
          <w:ilvl w:val="0"/>
          <w:numId w:val="4"/>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学生个体的毕业要求达成度计算及展示</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根据计算出的毕业要求达成度信息，汇总学生个体的毕业要求达成度，并可以采用多种方式展现。</w:t>
      </w:r>
    </w:p>
    <w:p>
      <w:pPr>
        <w:pStyle w:val="4"/>
        <w:numPr>
          <w:ilvl w:val="0"/>
          <w:numId w:val="4"/>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达成度分析及预警</w:t>
      </w:r>
    </w:p>
    <w:p>
      <w:pPr>
        <w:adjustRightInd w:val="0"/>
        <w:snapToGrid w:val="0"/>
        <w:spacing w:line="288" w:lineRule="auto"/>
        <w:ind w:firstLine="420" w:firstLineChars="200"/>
        <w:jc w:val="left"/>
        <w:rPr>
          <w:rFonts w:ascii="宋体" w:hAnsi="宋体"/>
          <w:bCs/>
          <w:sz w:val="21"/>
          <w:szCs w:val="21"/>
        </w:rPr>
      </w:pPr>
      <w:r>
        <w:rPr>
          <w:rFonts w:ascii="宋体" w:hAnsi="宋体"/>
          <w:bCs/>
          <w:sz w:val="21"/>
          <w:szCs w:val="21"/>
        </w:rPr>
        <w:t>对获得的课程目标</w:t>
      </w:r>
      <w:r>
        <w:rPr>
          <w:rFonts w:hint="eastAsia" w:ascii="宋体" w:hAnsi="宋体"/>
          <w:bCs/>
          <w:sz w:val="21"/>
          <w:szCs w:val="21"/>
        </w:rPr>
        <w:t>、</w:t>
      </w:r>
      <w:r>
        <w:rPr>
          <w:rFonts w:ascii="宋体" w:hAnsi="宋体"/>
          <w:bCs/>
          <w:sz w:val="21"/>
          <w:szCs w:val="21"/>
        </w:rPr>
        <w:t>毕业要求达成度数据</w:t>
      </w:r>
      <w:r>
        <w:rPr>
          <w:rFonts w:hint="eastAsia" w:ascii="宋体" w:hAnsi="宋体"/>
          <w:bCs/>
          <w:sz w:val="21"/>
          <w:szCs w:val="21"/>
        </w:rPr>
        <w:t>进行分析，并据此对相关学生进行预警。</w:t>
      </w:r>
    </w:p>
    <w:p>
      <w:pPr>
        <w:adjustRightInd w:val="0"/>
        <w:snapToGrid w:val="0"/>
        <w:spacing w:line="288" w:lineRule="auto"/>
        <w:jc w:val="left"/>
        <w:rPr>
          <w:rFonts w:ascii="宋体" w:hAnsi="宋体"/>
          <w:b/>
          <w:sz w:val="21"/>
          <w:szCs w:val="21"/>
        </w:rPr>
      </w:pPr>
      <w:r>
        <w:rPr>
          <w:rFonts w:hint="eastAsia" w:ascii="宋体" w:hAnsi="宋体"/>
          <w:b/>
          <w:sz w:val="21"/>
          <w:szCs w:val="21"/>
        </w:rPr>
        <w:t>（六）持续改进</w:t>
      </w:r>
    </w:p>
    <w:p>
      <w:pPr>
        <w:pStyle w:val="4"/>
        <w:numPr>
          <w:ilvl w:val="0"/>
          <w:numId w:val="5"/>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过程控制（流程）</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根据持续改进的要求，对其中的培养目标、毕业要求、指标点分解、课程支撑、课程改进等内容进行基于流程的闭环管理。</w:t>
      </w:r>
    </w:p>
    <w:p>
      <w:pPr>
        <w:pStyle w:val="4"/>
        <w:numPr>
          <w:ilvl w:val="0"/>
          <w:numId w:val="5"/>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持续改进支撑资料管理</w:t>
      </w:r>
    </w:p>
    <w:p>
      <w:pPr>
        <w:adjustRightInd w:val="0"/>
        <w:snapToGrid w:val="0"/>
        <w:spacing w:line="288" w:lineRule="auto"/>
        <w:ind w:firstLine="420" w:firstLineChars="200"/>
        <w:jc w:val="left"/>
        <w:rPr>
          <w:rFonts w:ascii="宋体" w:hAnsi="宋体"/>
          <w:bCs/>
          <w:sz w:val="21"/>
          <w:szCs w:val="21"/>
        </w:rPr>
      </w:pPr>
      <w:r>
        <w:rPr>
          <w:rFonts w:ascii="宋体" w:hAnsi="宋体"/>
          <w:bCs/>
          <w:sz w:val="21"/>
          <w:szCs w:val="21"/>
        </w:rPr>
        <w:t>对于持续改进过程中的产生的资料进行基于版本的管理</w:t>
      </w:r>
      <w:r>
        <w:rPr>
          <w:rFonts w:hint="eastAsia" w:ascii="宋体" w:hAnsi="宋体"/>
          <w:bCs/>
          <w:sz w:val="21"/>
          <w:szCs w:val="21"/>
        </w:rPr>
        <w:t>，</w:t>
      </w:r>
      <w:r>
        <w:rPr>
          <w:rFonts w:ascii="宋体" w:hAnsi="宋体"/>
          <w:bCs/>
          <w:sz w:val="21"/>
          <w:szCs w:val="21"/>
        </w:rPr>
        <w:t>并支持多种检索方式</w:t>
      </w:r>
      <w:r>
        <w:rPr>
          <w:rFonts w:hint="eastAsia" w:ascii="宋体" w:hAnsi="宋体"/>
          <w:bCs/>
          <w:sz w:val="21"/>
          <w:szCs w:val="21"/>
        </w:rPr>
        <w:t>。</w:t>
      </w:r>
    </w:p>
    <w:p>
      <w:pPr>
        <w:pStyle w:val="4"/>
        <w:numPr>
          <w:ilvl w:val="0"/>
          <w:numId w:val="5"/>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毕业生的跟踪反馈（问卷模块、间接评价）</w:t>
      </w:r>
    </w:p>
    <w:p>
      <w:pPr>
        <w:adjustRightInd w:val="0"/>
        <w:snapToGrid w:val="0"/>
        <w:spacing w:line="288" w:lineRule="auto"/>
        <w:ind w:firstLine="420" w:firstLineChars="200"/>
        <w:jc w:val="left"/>
        <w:rPr>
          <w:rFonts w:ascii="宋体" w:hAnsi="宋体"/>
          <w:sz w:val="21"/>
          <w:szCs w:val="21"/>
        </w:rPr>
      </w:pPr>
      <w:r>
        <w:rPr>
          <w:rFonts w:ascii="宋体" w:hAnsi="宋体"/>
          <w:sz w:val="21"/>
          <w:szCs w:val="21"/>
        </w:rPr>
        <w:t>对于毕业生</w:t>
      </w:r>
      <w:r>
        <w:rPr>
          <w:rFonts w:hint="eastAsia" w:ascii="宋体" w:hAnsi="宋体"/>
          <w:sz w:val="21"/>
          <w:szCs w:val="21"/>
        </w:rPr>
        <w:t>、</w:t>
      </w:r>
      <w:r>
        <w:rPr>
          <w:rFonts w:ascii="宋体" w:hAnsi="宋体"/>
          <w:sz w:val="21"/>
          <w:szCs w:val="21"/>
        </w:rPr>
        <w:t>就业单位对于培养目标</w:t>
      </w:r>
      <w:r>
        <w:rPr>
          <w:rFonts w:hint="eastAsia" w:ascii="宋体" w:hAnsi="宋体"/>
          <w:sz w:val="21"/>
          <w:szCs w:val="21"/>
        </w:rPr>
        <w:t>、</w:t>
      </w:r>
      <w:r>
        <w:rPr>
          <w:rFonts w:ascii="宋体" w:hAnsi="宋体"/>
          <w:sz w:val="21"/>
          <w:szCs w:val="21"/>
        </w:rPr>
        <w:t>毕业要求等</w:t>
      </w:r>
      <w:r>
        <w:rPr>
          <w:rFonts w:hint="eastAsia" w:ascii="宋体" w:hAnsi="宋体"/>
          <w:sz w:val="21"/>
          <w:szCs w:val="21"/>
        </w:rPr>
        <w:t>间接</w:t>
      </w:r>
      <w:r>
        <w:rPr>
          <w:rFonts w:ascii="宋体" w:hAnsi="宋体"/>
          <w:sz w:val="21"/>
          <w:szCs w:val="21"/>
        </w:rPr>
        <w:t>评价的数据</w:t>
      </w:r>
      <w:r>
        <w:rPr>
          <w:rFonts w:hint="eastAsia" w:ascii="宋体" w:hAnsi="宋体"/>
          <w:sz w:val="21"/>
          <w:szCs w:val="21"/>
        </w:rPr>
        <w:t>，支持通过问卷等方式获取，并进行必要的汇总、处理。</w:t>
      </w:r>
    </w:p>
    <w:p>
      <w:pPr>
        <w:adjustRightInd w:val="0"/>
        <w:snapToGrid w:val="0"/>
        <w:spacing w:line="288" w:lineRule="auto"/>
        <w:jc w:val="left"/>
        <w:rPr>
          <w:rFonts w:ascii="宋体" w:hAnsi="宋体"/>
          <w:b/>
          <w:bCs/>
          <w:sz w:val="21"/>
          <w:szCs w:val="21"/>
        </w:rPr>
      </w:pPr>
      <w:r>
        <w:rPr>
          <w:rFonts w:hint="eastAsia" w:ascii="宋体" w:hAnsi="宋体"/>
          <w:b/>
          <w:bCs/>
          <w:sz w:val="21"/>
          <w:szCs w:val="21"/>
        </w:rPr>
        <w:t>（七）技术需求</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针对平台可持续发展，及对各种可能的工具扩展的支持，平台应该具备以下的技术特性：</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平台后台采用Java语言进行开发，并且采用微服务体系设计；</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平台部署支持使用容器化技术，能够部署到公有或者私有云平台；</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平台设计采用前后端分离设计，使用RESTful设计模式提供服务；</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有技术能力提提供PC版本、H5版本、Android App、iOS App版本；</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平台能提供多级思维导图模式的指标体系制定、编辑和展示能力，并且能够在不同级别的指标模型上制定汇集的权重和计分模式（加分、减分、赋分、取最高分、取最低分等）；</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支持计分过程数据记录功能，并且可以对计分进行回滚；</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支持上述指标体系和专业、年级单独绑定，并且支持指标体系制定时从既有指标体系复制的功能；</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具备自定义的表单定义能力，支持基于教学关系的表单分发和数据收集能力；</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平台能够处理学生课外各种教育相关活动的数据汇集、评价能力，并且可以具备课内外数据融合评价的功能；</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平台基础架构具备调用审计机制，能提供出错时用的审计信息；</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平台用户认证具备第三方统一登录集成机制；</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平台的核心能力需要有相关的实际案例进行能力佐证；</w:t>
      </w:r>
    </w:p>
    <w:p>
      <w:pPr>
        <w:adjustRightInd w:val="0"/>
        <w:snapToGrid w:val="0"/>
        <w:jc w:val="left"/>
        <w:rPr>
          <w:b/>
          <w:bCs/>
          <w:sz w:val="21"/>
          <w:szCs w:val="21"/>
        </w:rPr>
      </w:pPr>
      <w:r>
        <w:rPr>
          <w:rFonts w:hint="eastAsia"/>
          <w:b/>
          <w:bCs/>
          <w:sz w:val="21"/>
          <w:szCs w:val="21"/>
        </w:rPr>
        <w:t>现场演示：</w:t>
      </w:r>
    </w:p>
    <w:p>
      <w:pPr>
        <w:adjustRightInd w:val="0"/>
        <w:snapToGrid w:val="0"/>
        <w:jc w:val="left"/>
        <w:rPr>
          <w:b/>
          <w:bCs/>
          <w:sz w:val="21"/>
          <w:szCs w:val="21"/>
        </w:rPr>
      </w:pPr>
      <w:r>
        <w:rPr>
          <w:rFonts w:hint="eastAsia"/>
          <w:b/>
          <w:bCs/>
          <w:sz w:val="21"/>
          <w:szCs w:val="21"/>
        </w:rPr>
        <w:t>1、 演示内容详见打分表。</w:t>
      </w:r>
    </w:p>
    <w:p>
      <w:pPr>
        <w:adjustRightInd w:val="0"/>
        <w:snapToGrid w:val="0"/>
        <w:jc w:val="left"/>
        <w:rPr>
          <w:b/>
          <w:bCs/>
          <w:sz w:val="21"/>
          <w:szCs w:val="21"/>
        </w:rPr>
      </w:pPr>
      <w:r>
        <w:rPr>
          <w:b/>
          <w:bCs/>
          <w:sz w:val="21"/>
          <w:szCs w:val="21"/>
        </w:rPr>
        <w:t>2</w:t>
      </w:r>
      <w:r>
        <w:rPr>
          <w:rFonts w:hint="eastAsia"/>
          <w:b/>
          <w:bCs/>
          <w:sz w:val="21"/>
          <w:szCs w:val="21"/>
        </w:rPr>
        <w:t>、</w:t>
      </w:r>
      <w:r>
        <w:rPr>
          <w:rFonts w:hint="eastAsia"/>
          <w:b/>
          <w:bCs/>
          <w:sz w:val="21"/>
          <w:szCs w:val="21"/>
        </w:rPr>
        <w:tab/>
      </w:r>
      <w:r>
        <w:rPr>
          <w:rFonts w:hint="eastAsia"/>
          <w:b/>
          <w:bCs/>
          <w:sz w:val="21"/>
          <w:szCs w:val="21"/>
        </w:rPr>
        <w:t>投标人须提供平台实物演示，演示的内容录制成视频格式，以U盘的形式，与商务技术文件一同密封提交。</w:t>
      </w:r>
    </w:p>
    <w:p>
      <w:pPr>
        <w:adjustRightInd w:val="0"/>
        <w:snapToGrid w:val="0"/>
        <w:jc w:val="left"/>
        <w:rPr>
          <w:b/>
          <w:bCs/>
          <w:sz w:val="21"/>
          <w:szCs w:val="21"/>
        </w:rPr>
      </w:pPr>
      <w:r>
        <w:rPr>
          <w:b/>
          <w:bCs/>
          <w:sz w:val="21"/>
          <w:szCs w:val="21"/>
        </w:rPr>
        <w:t>3</w:t>
      </w:r>
      <w:r>
        <w:rPr>
          <w:rFonts w:hint="eastAsia"/>
          <w:b/>
          <w:bCs/>
          <w:sz w:val="21"/>
          <w:szCs w:val="21"/>
        </w:rPr>
        <w:t>、</w:t>
      </w:r>
      <w:r>
        <w:rPr>
          <w:rFonts w:hint="eastAsia"/>
          <w:b/>
          <w:bCs/>
          <w:sz w:val="21"/>
          <w:szCs w:val="21"/>
        </w:rPr>
        <w:tab/>
      </w:r>
      <w:r>
        <w:rPr>
          <w:rFonts w:hint="eastAsia"/>
          <w:b/>
          <w:bCs/>
          <w:sz w:val="21"/>
          <w:szCs w:val="21"/>
        </w:rPr>
        <w:t>投标人演示的产品须是真实系统，若现场使用截图、PPT演示不得分。</w:t>
      </w:r>
    </w:p>
    <w:p>
      <w:pPr>
        <w:adjustRightInd w:val="0"/>
        <w:snapToGrid w:val="0"/>
        <w:jc w:val="left"/>
        <w:rPr>
          <w:b/>
          <w:bCs/>
          <w:sz w:val="21"/>
          <w:szCs w:val="21"/>
        </w:rPr>
      </w:pPr>
      <w:r>
        <w:rPr>
          <w:b/>
          <w:bCs/>
          <w:sz w:val="21"/>
          <w:szCs w:val="21"/>
        </w:rPr>
        <w:t>4</w:t>
      </w:r>
      <w:r>
        <w:rPr>
          <w:rFonts w:hint="eastAsia"/>
          <w:b/>
          <w:bCs/>
          <w:sz w:val="21"/>
          <w:szCs w:val="21"/>
        </w:rPr>
        <w:t>、</w:t>
      </w:r>
      <w:r>
        <w:rPr>
          <w:rFonts w:hint="eastAsia"/>
          <w:b/>
          <w:bCs/>
          <w:sz w:val="21"/>
          <w:szCs w:val="21"/>
        </w:rPr>
        <w:tab/>
      </w:r>
      <w:r>
        <w:rPr>
          <w:rFonts w:hint="eastAsia"/>
          <w:b/>
          <w:bCs/>
          <w:sz w:val="21"/>
          <w:szCs w:val="21"/>
        </w:rPr>
        <w:t>演示时间不超过20分钟，演示过程需要准备的器材、软件、网络等设施由投标人自行准备；</w:t>
      </w:r>
    </w:p>
    <w:p>
      <w:pPr>
        <w:adjustRightInd w:val="0"/>
        <w:snapToGrid w:val="0"/>
        <w:jc w:val="left"/>
        <w:rPr>
          <w:b/>
          <w:bCs/>
          <w:sz w:val="21"/>
          <w:szCs w:val="21"/>
        </w:rPr>
      </w:pPr>
      <w:r>
        <w:rPr>
          <w:b/>
          <w:bCs/>
          <w:sz w:val="21"/>
          <w:szCs w:val="21"/>
        </w:rPr>
        <w:t>5</w:t>
      </w:r>
      <w:r>
        <w:rPr>
          <w:rFonts w:hint="eastAsia"/>
          <w:b/>
          <w:bCs/>
          <w:sz w:val="21"/>
          <w:szCs w:val="21"/>
        </w:rPr>
        <w:t>、</w:t>
      </w:r>
      <w:r>
        <w:rPr>
          <w:rFonts w:hint="eastAsia"/>
          <w:b/>
          <w:bCs/>
          <w:sz w:val="21"/>
          <w:szCs w:val="21"/>
        </w:rPr>
        <w:tab/>
      </w:r>
      <w:r>
        <w:rPr>
          <w:rFonts w:hint="eastAsia"/>
          <w:b/>
          <w:bCs/>
          <w:sz w:val="21"/>
          <w:szCs w:val="21"/>
        </w:rPr>
        <w:t>提供的视频格式为常规格式，如因格式原因未能播放视频，后果由投标人自行承担；</w:t>
      </w:r>
    </w:p>
    <w:p>
      <w:pPr>
        <w:adjustRightInd w:val="0"/>
        <w:snapToGrid w:val="0"/>
        <w:jc w:val="left"/>
        <w:rPr>
          <w:b/>
          <w:bCs/>
          <w:sz w:val="21"/>
          <w:szCs w:val="21"/>
        </w:rPr>
      </w:pPr>
      <w:r>
        <w:rPr>
          <w:b/>
          <w:bCs/>
          <w:sz w:val="21"/>
          <w:szCs w:val="21"/>
        </w:rPr>
        <w:t>6</w:t>
      </w:r>
      <w:r>
        <w:rPr>
          <w:rFonts w:hint="eastAsia"/>
          <w:b/>
          <w:bCs/>
          <w:sz w:val="21"/>
          <w:szCs w:val="21"/>
        </w:rPr>
        <w:t>、 未提供演示的，演示分为0分。</w:t>
      </w:r>
    </w:p>
    <w:p>
      <w:pPr>
        <w:adjustRightInd w:val="0"/>
        <w:snapToGrid w:val="0"/>
        <w:jc w:val="left"/>
        <w:rPr>
          <w:b/>
          <w:bCs/>
          <w:sz w:val="21"/>
          <w:szCs w:val="21"/>
        </w:rPr>
      </w:pPr>
      <w:r>
        <w:rPr>
          <w:rFonts w:hint="eastAsia"/>
          <w:b/>
          <w:bCs/>
          <w:sz w:val="21"/>
          <w:szCs w:val="21"/>
        </w:rPr>
        <w:t>注：</w:t>
      </w:r>
    </w:p>
    <w:p>
      <w:r>
        <w:rPr>
          <w:rFonts w:hint="eastAsia"/>
          <w:b/>
          <w:bCs/>
          <w:sz w:val="21"/>
          <w:szCs w:val="21"/>
        </w:rPr>
        <w:t>1.如技术要求中未特别注明需执行的国家相关标准、行业标准、地方标准或者其他标准、规范，则统一执行最新标准、规范。</w:t>
      </w:r>
      <w: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22AF"/>
    <w:multiLevelType w:val="multilevel"/>
    <w:tmpl w:val="06F522AF"/>
    <w:lvl w:ilvl="0" w:tentative="0">
      <w:start w:val="1"/>
      <w:numFmt w:val="decimal"/>
      <w:lvlText w:val="%1."/>
      <w:lvlJc w:val="left"/>
      <w:pPr>
        <w:ind w:left="0" w:hanging="420"/>
      </w:p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
    <w:nsid w:val="207C739E"/>
    <w:multiLevelType w:val="multilevel"/>
    <w:tmpl w:val="207C739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810D9E"/>
    <w:multiLevelType w:val="multilevel"/>
    <w:tmpl w:val="25810D9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8B4549"/>
    <w:multiLevelType w:val="multilevel"/>
    <w:tmpl w:val="3D8B4549"/>
    <w:lvl w:ilvl="0" w:tentative="0">
      <w:start w:val="1"/>
      <w:numFmt w:val="decimal"/>
      <w:lvlText w:val="%1."/>
      <w:lvlJc w:val="left"/>
      <w:pPr>
        <w:ind w:left="-420" w:hanging="420"/>
      </w:pPr>
    </w:lvl>
    <w:lvl w:ilvl="1" w:tentative="0">
      <w:start w:val="1"/>
      <w:numFmt w:val="lowerLetter"/>
      <w:lvlText w:val="%2)"/>
      <w:lvlJc w:val="left"/>
      <w:pPr>
        <w:ind w:left="0" w:hanging="420"/>
      </w:pPr>
    </w:lvl>
    <w:lvl w:ilvl="2" w:tentative="0">
      <w:start w:val="1"/>
      <w:numFmt w:val="lowerRoman"/>
      <w:lvlText w:val="%3."/>
      <w:lvlJc w:val="right"/>
      <w:pPr>
        <w:ind w:left="420" w:hanging="420"/>
      </w:pPr>
    </w:lvl>
    <w:lvl w:ilvl="3" w:tentative="0">
      <w:start w:val="1"/>
      <w:numFmt w:val="decimal"/>
      <w:lvlText w:val="%4."/>
      <w:lvlJc w:val="left"/>
      <w:pPr>
        <w:ind w:left="840" w:hanging="420"/>
      </w:pPr>
    </w:lvl>
    <w:lvl w:ilvl="4" w:tentative="0">
      <w:start w:val="1"/>
      <w:numFmt w:val="lowerLetter"/>
      <w:lvlText w:val="%5)"/>
      <w:lvlJc w:val="left"/>
      <w:pPr>
        <w:ind w:left="1260" w:hanging="420"/>
      </w:pPr>
    </w:lvl>
    <w:lvl w:ilvl="5" w:tentative="0">
      <w:start w:val="1"/>
      <w:numFmt w:val="lowerRoman"/>
      <w:lvlText w:val="%6."/>
      <w:lvlJc w:val="right"/>
      <w:pPr>
        <w:ind w:left="1680" w:hanging="420"/>
      </w:pPr>
    </w:lvl>
    <w:lvl w:ilvl="6" w:tentative="0">
      <w:start w:val="1"/>
      <w:numFmt w:val="decimal"/>
      <w:lvlText w:val="%7."/>
      <w:lvlJc w:val="left"/>
      <w:pPr>
        <w:ind w:left="2100" w:hanging="420"/>
      </w:pPr>
    </w:lvl>
    <w:lvl w:ilvl="7" w:tentative="0">
      <w:start w:val="1"/>
      <w:numFmt w:val="lowerLetter"/>
      <w:lvlText w:val="%8)"/>
      <w:lvlJc w:val="left"/>
      <w:pPr>
        <w:ind w:left="2520" w:hanging="420"/>
      </w:pPr>
    </w:lvl>
    <w:lvl w:ilvl="8" w:tentative="0">
      <w:start w:val="1"/>
      <w:numFmt w:val="lowerRoman"/>
      <w:lvlText w:val="%9."/>
      <w:lvlJc w:val="right"/>
      <w:pPr>
        <w:ind w:left="2940" w:hanging="420"/>
      </w:pPr>
    </w:lvl>
  </w:abstractNum>
  <w:abstractNum w:abstractNumId="4">
    <w:nsid w:val="40634BAD"/>
    <w:multiLevelType w:val="multilevel"/>
    <w:tmpl w:val="40634B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7396769"/>
    <w:multiLevelType w:val="multilevel"/>
    <w:tmpl w:val="5739676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05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2021-02-08T02:45:34Z</dcterms:created>
  <dc:creator>Dellpc</dc:creator>
  <lastModifiedBy>小星星</lastModifiedBy>
  <dcterms:modified xsi:type="dcterms:W3CDTF">2021-02-08T02:45:48Z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