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4"/>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3</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70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15</w:t>
            </w:r>
            <w:r>
              <w:rPr>
                <w:rFonts w:hint="eastAsia" w:ascii="宋体" w:hAnsi="宋体"/>
                <w:sz w:val="21"/>
                <w:szCs w:val="21"/>
              </w:rPr>
              <w:t>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4"/>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52"/>
        <w:gridCol w:w="839"/>
        <w:gridCol w:w="7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152"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3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94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1152" w:type="dxa"/>
            <w:vAlign w:val="center"/>
          </w:tcPr>
          <w:p>
            <w:pPr>
              <w:adjustRightInd w:val="0"/>
              <w:snapToGrid w:val="0"/>
              <w:jc w:val="center"/>
              <w:rPr>
                <w:rFonts w:ascii="宋体" w:hAnsi="宋体"/>
                <w:b/>
                <w:bCs/>
                <w:sz w:val="21"/>
                <w:szCs w:val="21"/>
              </w:rPr>
            </w:pPr>
            <w:r>
              <w:rPr>
                <w:rFonts w:hint="eastAsia" w:ascii="宋体" w:hAnsi="宋体" w:cs="宋体"/>
                <w:bCs/>
                <w:sz w:val="21"/>
                <w:szCs w:val="21"/>
              </w:rPr>
              <w:t>水蒸气老化仪</w:t>
            </w:r>
          </w:p>
        </w:tc>
        <w:tc>
          <w:tcPr>
            <w:tcW w:w="83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1</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套</w:t>
            </w:r>
          </w:p>
        </w:tc>
        <w:tc>
          <w:tcPr>
            <w:tcW w:w="6946" w:type="dxa"/>
            <w:vAlign w:val="center"/>
          </w:tcPr>
          <w:p>
            <w:pPr>
              <w:adjustRightInd w:val="0"/>
              <w:snapToGrid w:val="0"/>
              <w:spacing w:line="288" w:lineRule="auto"/>
              <w:jc w:val="left"/>
              <w:rPr>
                <w:rFonts w:ascii="宋体" w:hAnsi="宋体"/>
                <w:sz w:val="21"/>
                <w:szCs w:val="21"/>
              </w:rPr>
            </w:pPr>
            <w:r>
              <w:rPr>
                <w:rFonts w:hint="eastAsia" w:ascii="宋体" w:hAnsi="宋体"/>
                <w:sz w:val="21"/>
                <w:szCs w:val="21"/>
              </w:rPr>
              <w:t>技术规格：</w:t>
            </w:r>
          </w:p>
          <w:p>
            <w:pPr>
              <w:numPr>
                <w:ilvl w:val="0"/>
                <w:numId w:val="1"/>
              </w:numPr>
              <w:adjustRightInd w:val="0"/>
              <w:snapToGrid w:val="0"/>
              <w:spacing w:line="288" w:lineRule="auto"/>
              <w:jc w:val="left"/>
              <w:rPr>
                <w:rFonts w:ascii="宋体" w:hAnsi="宋体"/>
                <w:sz w:val="21"/>
                <w:szCs w:val="21"/>
              </w:rPr>
            </w:pPr>
            <w:r>
              <w:rPr>
                <w:rFonts w:hint="eastAsia" w:ascii="宋体" w:hAnsi="宋体" w:cs="宋体"/>
                <w:kern w:val="0"/>
                <w:sz w:val="21"/>
                <w:szCs w:val="21"/>
              </w:rPr>
              <w:t>▲</w:t>
            </w:r>
            <w:r>
              <w:rPr>
                <w:rFonts w:hint="eastAsia" w:ascii="宋体" w:hAnsi="宋体"/>
                <w:sz w:val="21"/>
                <w:szCs w:val="21"/>
              </w:rPr>
              <w:t>压力试验范围：仪器应属于安全耐压容器，可以承受不小于2.5MPa的大气压强，压力控制精度：±0.001MPa，采用UV340灯管或加快试验速度的UVB313灯管，光谱稳定，灯管使用寿命5000小时以上；</w:t>
            </w:r>
          </w:p>
          <w:p>
            <w:pPr>
              <w:adjustRightInd w:val="0"/>
              <w:snapToGrid w:val="0"/>
              <w:spacing w:line="288" w:lineRule="auto"/>
              <w:jc w:val="left"/>
              <w:rPr>
                <w:rFonts w:ascii="宋体" w:hAnsi="宋体"/>
                <w:sz w:val="21"/>
                <w:szCs w:val="21"/>
              </w:rPr>
            </w:pPr>
            <w:r>
              <w:rPr>
                <w:rFonts w:hint="eastAsia" w:ascii="宋体" w:hAnsi="宋体"/>
                <w:sz w:val="21"/>
                <w:szCs w:val="21"/>
              </w:rPr>
              <w:t>2.温度模拟范围：仪器具有加热功能，加热温度范围不小于10~150℃，PID闭环控制稳定至±0.5℃，测量分辨率达到0.05℃；</w:t>
            </w:r>
          </w:p>
          <w:p>
            <w:pPr>
              <w:adjustRightInd w:val="0"/>
              <w:snapToGrid w:val="0"/>
              <w:spacing w:line="288" w:lineRule="auto"/>
              <w:jc w:val="left"/>
              <w:rPr>
                <w:rFonts w:ascii="宋体" w:hAnsi="宋体"/>
                <w:sz w:val="21"/>
                <w:szCs w:val="21"/>
              </w:rPr>
            </w:pPr>
            <w:r>
              <w:rPr>
                <w:rFonts w:hint="eastAsia" w:ascii="宋体" w:hAnsi="宋体"/>
                <w:sz w:val="21"/>
                <w:szCs w:val="21"/>
              </w:rPr>
              <w:t>3.预热功能：为节省试验等待时间，仪器应具有预热功能，可模拟与自然潮湿环境一致的冷凝和辐射功能；</w:t>
            </w:r>
          </w:p>
          <w:p>
            <w:pPr>
              <w:adjustRightInd w:val="0"/>
              <w:snapToGrid w:val="0"/>
              <w:spacing w:line="288" w:lineRule="auto"/>
              <w:jc w:val="left"/>
              <w:rPr>
                <w:rFonts w:ascii="宋体" w:hAnsi="宋体"/>
                <w:sz w:val="21"/>
                <w:szCs w:val="21"/>
              </w:rPr>
            </w:pPr>
            <w:r>
              <w:rPr>
                <w:rFonts w:hint="eastAsia" w:ascii="宋体" w:hAnsi="宋体"/>
                <w:sz w:val="21"/>
                <w:szCs w:val="21"/>
              </w:rPr>
              <w:t>4.超温保护功能：仪器具有超温自动断电的安全保护功能，自我诊断报警与维护提醒；</w:t>
            </w:r>
          </w:p>
          <w:p>
            <w:pPr>
              <w:adjustRightInd w:val="0"/>
              <w:snapToGrid w:val="0"/>
              <w:spacing w:line="288" w:lineRule="auto"/>
              <w:jc w:val="left"/>
              <w:rPr>
                <w:rFonts w:ascii="宋体" w:hAnsi="宋体"/>
                <w:sz w:val="21"/>
                <w:szCs w:val="21"/>
              </w:rPr>
            </w:pPr>
            <w:r>
              <w:rPr>
                <w:rFonts w:hint="eastAsia" w:ascii="宋体" w:hAnsi="宋体"/>
                <w:sz w:val="21"/>
                <w:szCs w:val="21"/>
              </w:rPr>
              <w:t>5.</w:t>
            </w:r>
            <w:r>
              <w:rPr>
                <w:rFonts w:hint="eastAsia" w:ascii="宋体" w:hAnsi="宋体" w:cs="宋体"/>
                <w:kern w:val="0"/>
                <w:sz w:val="21"/>
                <w:szCs w:val="21"/>
              </w:rPr>
              <w:t>▲</w:t>
            </w:r>
            <w:r>
              <w:rPr>
                <w:rFonts w:hint="eastAsia" w:ascii="宋体" w:hAnsi="宋体"/>
                <w:sz w:val="21"/>
                <w:szCs w:val="21"/>
              </w:rPr>
              <w:t>试验控制：仪器通过彩色触摸屏或者远程APP进行控制，可以输入试验参数，观察试验状态等；</w:t>
            </w:r>
          </w:p>
          <w:p>
            <w:pPr>
              <w:rPr>
                <w:rFonts w:ascii="宋体" w:hAnsi="宋体" w:cs="仿宋"/>
                <w:snapToGrid w:val="0"/>
                <w:kern w:val="0"/>
                <w:sz w:val="21"/>
                <w:szCs w:val="21"/>
              </w:rPr>
            </w:pPr>
            <w:r>
              <w:rPr>
                <w:rFonts w:hint="eastAsia" w:ascii="宋体" w:hAnsi="宋体"/>
                <w:sz w:val="21"/>
                <w:szCs w:val="21"/>
              </w:rPr>
              <w:t>6.</w:t>
            </w:r>
            <w:r>
              <w:rPr>
                <w:rFonts w:hint="eastAsia" w:ascii="宋体" w:hAnsi="宋体" w:cs="宋体"/>
                <w:kern w:val="0"/>
                <w:sz w:val="21"/>
                <w:szCs w:val="21"/>
              </w:rPr>
              <w:t>▲</w:t>
            </w:r>
            <w:r>
              <w:rPr>
                <w:rFonts w:hint="eastAsia" w:ascii="宋体" w:hAnsi="宋体"/>
                <w:sz w:val="21"/>
                <w:szCs w:val="21"/>
              </w:rPr>
              <w:t>数据管理：数据显示界面可以显示目标试验温度、实际内部温度、目标压强、实际压强、测试时间等参数，试验参数可以通过手机APP实时监测，具有一键上传云平台功能；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2</w:t>
            </w:r>
          </w:p>
        </w:tc>
        <w:tc>
          <w:tcPr>
            <w:tcW w:w="1152" w:type="dxa"/>
            <w:vAlign w:val="center"/>
          </w:tcPr>
          <w:p>
            <w:pPr>
              <w:adjustRightInd w:val="0"/>
              <w:snapToGrid w:val="0"/>
              <w:jc w:val="center"/>
              <w:rPr>
                <w:rFonts w:ascii="宋体" w:hAnsi="宋体" w:cs="宋体"/>
                <w:b/>
                <w:bCs/>
                <w:sz w:val="21"/>
                <w:szCs w:val="21"/>
              </w:rPr>
            </w:pPr>
            <w:r>
              <w:rPr>
                <w:rFonts w:hint="eastAsia" w:ascii="宋体" w:hAnsi="宋体" w:cs="宋体"/>
                <w:bCs/>
                <w:sz w:val="21"/>
                <w:szCs w:val="21"/>
              </w:rPr>
              <w:t>自动车辙试验仪</w:t>
            </w:r>
          </w:p>
        </w:tc>
        <w:tc>
          <w:tcPr>
            <w:tcW w:w="83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1</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套</w:t>
            </w:r>
          </w:p>
        </w:tc>
        <w:tc>
          <w:tcPr>
            <w:tcW w:w="6946" w:type="dxa"/>
            <w:vAlign w:val="center"/>
          </w:tcPr>
          <w:p>
            <w:pPr>
              <w:adjustRightInd w:val="0"/>
              <w:snapToGrid w:val="0"/>
              <w:spacing w:line="288" w:lineRule="auto"/>
              <w:jc w:val="left"/>
              <w:rPr>
                <w:rFonts w:ascii="宋体" w:hAnsi="宋体" w:cs="宋体"/>
                <w:b/>
                <w:sz w:val="21"/>
                <w:szCs w:val="21"/>
              </w:rPr>
            </w:pPr>
            <w:r>
              <w:rPr>
                <w:rFonts w:hint="eastAsia" w:ascii="宋体" w:hAnsi="宋体" w:cs="宋体"/>
                <w:b/>
                <w:sz w:val="21"/>
                <w:szCs w:val="21"/>
              </w:rPr>
              <w:t>成型系统技术规格：</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1.成型试件尺寸：300mm×300mm的板块型，深度最高不小于100mm；</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2.荷载范围：不小于30KN，可调，线荷载范围不小于（200~600）±3N/cm，可调；</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3.</w:t>
            </w:r>
            <w:r>
              <w:rPr>
                <w:rFonts w:hint="eastAsia" w:ascii="宋体" w:hAnsi="宋体" w:cs="宋体"/>
                <w:kern w:val="0"/>
                <w:sz w:val="21"/>
                <w:szCs w:val="21"/>
              </w:rPr>
              <w:t>▲</w:t>
            </w:r>
            <w:r>
              <w:rPr>
                <w:rFonts w:hint="eastAsia" w:ascii="宋体" w:hAnsi="宋体" w:cs="宋体"/>
                <w:bCs/>
                <w:sz w:val="21"/>
                <w:szCs w:val="21"/>
              </w:rPr>
              <w:t>车辙传感器：可覆盖10g、50g、1000g等量程，可轻便安装可拆卸，数量33个，需提供传感器实物照片；</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4.安装频率包括但不限于以下几种：1～15KHz,5mV/g、0.5～8KHz,100mV/g、0.5～1KHz，500mV/g等，需提供相应传感器类型加以说明；</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5.</w:t>
            </w:r>
            <w:r>
              <w:rPr>
                <w:rFonts w:hint="eastAsia" w:ascii="宋体" w:hAnsi="宋体" w:cs="宋体"/>
                <w:kern w:val="0"/>
                <w:sz w:val="21"/>
                <w:szCs w:val="21"/>
              </w:rPr>
              <w:t>▲</w:t>
            </w:r>
            <w:r>
              <w:rPr>
                <w:rFonts w:hint="eastAsia" w:ascii="宋体" w:hAnsi="宋体" w:cs="宋体"/>
                <w:bCs/>
                <w:sz w:val="21"/>
                <w:szCs w:val="21"/>
              </w:rPr>
              <w:t>控制方式：可以通过荷载和位移两种方式来执行用户自定义的压实程序，或是两者的组合程序，从而真实的模拟现场的压实工况；</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6.加热功能：碾压轮可以进行加热，加热温度范围不小于室温到+200℃，精度不低于±1℃；</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7.碾压速度：6±0.5次/分，分级可调；</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8.诊断功能：为便于维护，设备应具备自诊断功能，诊断出的故障以故障码的形式提示，便于快速维护；</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9.碾压次数：可以任意设置，并设置至少2个标准的快速操作次数，达到目标值后可自动停机；</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10.数据显示；通过一体式计算机来进行控制，测量荷载和位移，软件控制模具行程，执行用户自定义的荷载/位移组合的测试序列，碾压的过程中当前的温度和压力可以实时显示。</w:t>
            </w:r>
          </w:p>
          <w:p>
            <w:pPr>
              <w:adjustRightInd w:val="0"/>
              <w:snapToGrid w:val="0"/>
              <w:spacing w:line="288" w:lineRule="auto"/>
              <w:jc w:val="left"/>
              <w:rPr>
                <w:rFonts w:ascii="宋体" w:hAnsi="宋体" w:cs="宋体"/>
                <w:b/>
                <w:sz w:val="21"/>
                <w:szCs w:val="21"/>
              </w:rPr>
            </w:pPr>
            <w:r>
              <w:rPr>
                <w:rFonts w:hint="eastAsia" w:ascii="宋体" w:hAnsi="宋体" w:cs="宋体"/>
                <w:b/>
                <w:sz w:val="21"/>
                <w:szCs w:val="21"/>
              </w:rPr>
              <w:t>车辙系统技术规格：</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1.试件数量：具有3个测试位，可以一次测试3个300mm×300mm的车辙板或3组（每组2个）直径150mm圆柱体拼接的试件组合；</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2.接触压强：橡胶轮胎与试件之间的的接触压强可以调整，标准压强为0.7±0.05℃（60℃时）；进行重载交通模拟试验时，可以调整到不小于1.2MPa；</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3.压力控制：测试轮对试件的压力通过压力传感器测量和反馈控制，可以在软件上设置目标的压力值；</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4.</w:t>
            </w:r>
            <w:r>
              <w:rPr>
                <w:rFonts w:hint="eastAsia" w:ascii="宋体" w:hAnsi="宋体" w:cs="宋体"/>
                <w:kern w:val="0"/>
                <w:sz w:val="21"/>
                <w:szCs w:val="21"/>
              </w:rPr>
              <w:t>▲</w:t>
            </w:r>
            <w:r>
              <w:rPr>
                <w:rFonts w:hint="eastAsia" w:ascii="宋体" w:hAnsi="宋体" w:cs="宋体"/>
                <w:bCs/>
                <w:sz w:val="21"/>
                <w:szCs w:val="21"/>
              </w:rPr>
              <w:t>温度模拟：温度模拟范围：不小于-25℃到+70℃，分辨率：0.1℃，通过PID控制器进行控制，温度稳定性：±0.5℃（试件附近）；</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5.测试速度：测试轮的碾压速度可以在15~55次/分之间进行调整；</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6.测试距离：测试轮的行走距离不小于200mm；</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7.变形测量：使用位移传感器测量试件的高程变化，量程不小于30mm，分辨率不低于0.01mm，传感器的采集可以设置为等间距采样模式。可以在车辙板中心或两个圆柱体芯样的对称位置按照规范的要求采集11个点来计算平均值；</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8.试验控制：仪器通过计算机软件进行控制，在试验过程中可以实时显示测试结果，生成碾压次数-变形深度曲线，自动计算动稳定度，车辙平均变形深度，识别水损害剥落拐点，计算斜率。测试结果可以导出到Excel程序中进行分析计算；</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9.</w:t>
            </w:r>
            <w:r>
              <w:rPr>
                <w:rFonts w:hint="eastAsia" w:ascii="宋体" w:hAnsi="宋体" w:cs="宋体"/>
                <w:kern w:val="0"/>
                <w:sz w:val="21"/>
                <w:szCs w:val="21"/>
              </w:rPr>
              <w:t>▲</w:t>
            </w:r>
            <w:r>
              <w:rPr>
                <w:rFonts w:hint="eastAsia" w:ascii="宋体" w:hAnsi="宋体" w:cs="宋体"/>
                <w:sz w:val="21"/>
                <w:szCs w:val="21"/>
              </w:rPr>
              <w:t>内置公路沥青路面设计规范要求的交通荷载计算公式，通过输入的日交通量，交通增长率，方向系数，车道系数，车辆分布系数和轴载谱来计算设计使用年限内设计车道上的当量设计轴载累计作用次数，需提供软件截图作为佐证材料</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10.配件数量：标准车辙试验方法的300mm×300mm（深度不小于100mmm）试模3套，汉堡车辙试验方法的圆柱体试件试模3套，标准车辙试验方法的实心橡胶轮2个，汉堡车辙试验方法的不锈钢轮2个，计算机1台。</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数智传感系统技术规格：</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高温应变测量：</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1.量程：±5000×10-6</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2.非线性：1.0% RO</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3视弹性模量：40 N/mm2</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4.工作温度范围：-20～+280 ℃</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5.便携式平板电脑实时数据显示温度、强度、成熟度、时间等信息</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6.</w:t>
            </w:r>
            <w:r>
              <w:rPr>
                <w:rFonts w:hint="eastAsia" w:ascii="宋体" w:hAnsi="宋体" w:cs="宋体"/>
                <w:kern w:val="0"/>
                <w:sz w:val="21"/>
                <w:szCs w:val="21"/>
              </w:rPr>
              <w:t>▲</w:t>
            </w:r>
            <w:r>
              <w:rPr>
                <w:rFonts w:hint="eastAsia" w:ascii="宋体" w:hAnsi="宋体" w:cs="宋体"/>
                <w:bCs/>
                <w:sz w:val="21"/>
                <w:szCs w:val="21"/>
              </w:rPr>
              <w:t>有成熟度标定曲线数据库用于数据标定测量，可以通过体积指标分析来确定最佳沥青用量，分析图表至少包括毛体积相对密度、空隙率VV，矿料间隙率VMA，沥青饱和度VFA，马歇尔温定度MS，流值FL，有效沥青膜厚度DA。性能验证功能可以将测试结果上传并与设计目标进行对比展示，</w:t>
            </w:r>
            <w:r>
              <w:rPr>
                <w:rFonts w:hint="eastAsia" w:ascii="宋体" w:hAnsi="宋体" w:cs="宋体"/>
                <w:b/>
                <w:bCs/>
                <w:sz w:val="21"/>
                <w:szCs w:val="21"/>
              </w:rPr>
              <w:t>需提供软件截图作为佐证材料，附于技术偏离表后。</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6BE2F"/>
    <w:multiLevelType w:val="singleLevel"/>
    <w:tmpl w:val="2046BE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606D1"/>
    <w:rsid w:val="5346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2021-11-05T09:56:00Z</dcterms:created>
  <dc:creator>amander</dc:creator>
  <lastModifiedBy>amander</lastModifiedBy>
  <dcterms:modified xsi:type="dcterms:W3CDTF">2021-11-05T09:56:13Z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7CDD9F73C7D24AC4A45D513394026406</vt:lpwstr>
  </property>
</Properties>
</file>