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highlight w:val="none"/>
        </w:rPr>
      </w:pPr>
      <w:r>
        <w:rPr>
          <w:rFonts w:hint="eastAsia" w:ascii="宋体" w:hAnsi="宋体"/>
          <w:b/>
          <w:bCs/>
          <w:sz w:val="32"/>
          <w:szCs w:val="32"/>
          <w:highlight w:val="none"/>
        </w:rPr>
        <w:t>采购需求</w:t>
      </w:r>
    </w:p>
    <w:p>
      <w:pPr>
        <w:adjustRightInd w:val="0"/>
        <w:snapToGrid w:val="0"/>
        <w:spacing w:line="288" w:lineRule="auto"/>
        <w:ind w:left="238" w:hanging="238" w:hangingChars="113"/>
        <w:outlineLvl w:val="1"/>
        <w:rPr>
          <w:rFonts w:ascii="宋体" w:hAnsi="宋体"/>
          <w:b/>
          <w:sz w:val="21"/>
          <w:szCs w:val="21"/>
          <w:highlight w:val="none"/>
        </w:rPr>
      </w:pPr>
      <w:r>
        <w:rPr>
          <w:rFonts w:hint="eastAsia" w:ascii="宋体" w:hAnsi="宋体"/>
          <w:b/>
          <w:sz w:val="21"/>
          <w:szCs w:val="21"/>
          <w:highlight w:val="none"/>
        </w:rPr>
        <w:t>一</w:t>
      </w:r>
      <w:r>
        <w:rPr>
          <w:rFonts w:ascii="宋体" w:hAnsi="宋体"/>
          <w:b/>
          <w:sz w:val="21"/>
          <w:szCs w:val="21"/>
          <w:highlight w:val="none"/>
        </w:rPr>
        <w:t>、</w:t>
      </w:r>
      <w:r>
        <w:rPr>
          <w:rFonts w:hint="eastAsia" w:ascii="宋体" w:hAnsi="宋体"/>
          <w:b/>
          <w:sz w:val="21"/>
          <w:szCs w:val="21"/>
          <w:highlight w:val="none"/>
        </w:rPr>
        <w:t>为落实政府采购政策需满足的要求：</w:t>
      </w:r>
    </w:p>
    <w:tbl>
      <w:tblPr>
        <w:tblStyle w:val="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b/>
                <w:sz w:val="21"/>
                <w:szCs w:val="21"/>
                <w:highlight w:val="none"/>
              </w:rPr>
            </w:pPr>
            <w:r>
              <w:rPr>
                <w:rFonts w:hint="eastAsia" w:ascii="宋体" w:hAnsi="宋体"/>
                <w:b/>
                <w:sz w:val="21"/>
                <w:szCs w:val="21"/>
                <w:highlight w:val="none"/>
              </w:rPr>
              <w:t>序号</w:t>
            </w:r>
          </w:p>
        </w:tc>
        <w:tc>
          <w:tcPr>
            <w:tcW w:w="4140" w:type="dxa"/>
            <w:vAlign w:val="center"/>
          </w:tcPr>
          <w:p>
            <w:pPr>
              <w:adjustRightInd w:val="0"/>
              <w:snapToGrid w:val="0"/>
              <w:spacing w:line="288" w:lineRule="auto"/>
              <w:jc w:val="center"/>
              <w:rPr>
                <w:rFonts w:ascii="宋体" w:hAnsi="宋体"/>
                <w:b/>
                <w:sz w:val="21"/>
                <w:szCs w:val="21"/>
                <w:highlight w:val="none"/>
              </w:rPr>
            </w:pPr>
            <w:r>
              <w:rPr>
                <w:rFonts w:hint="eastAsia" w:ascii="宋体" w:hAnsi="宋体"/>
                <w:b/>
                <w:sz w:val="21"/>
                <w:szCs w:val="21"/>
                <w:highlight w:val="none"/>
              </w:rPr>
              <w:t>政策名称</w:t>
            </w:r>
          </w:p>
        </w:tc>
        <w:tc>
          <w:tcPr>
            <w:tcW w:w="4678" w:type="dxa"/>
            <w:vAlign w:val="center"/>
          </w:tcPr>
          <w:p>
            <w:pPr>
              <w:adjustRightInd w:val="0"/>
              <w:snapToGrid w:val="0"/>
              <w:spacing w:line="288" w:lineRule="auto"/>
              <w:jc w:val="center"/>
              <w:rPr>
                <w:rFonts w:ascii="宋体" w:hAnsi="宋体"/>
                <w:b/>
                <w:sz w:val="21"/>
                <w:szCs w:val="21"/>
                <w:highlight w:val="none"/>
              </w:rPr>
            </w:pPr>
            <w:r>
              <w:rPr>
                <w:rFonts w:hint="eastAsia" w:ascii="宋体" w:hAnsi="宋体"/>
                <w:b/>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1</w:t>
            </w:r>
          </w:p>
        </w:tc>
        <w:tc>
          <w:tcPr>
            <w:tcW w:w="414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政府采购促进中小企业发展</w:t>
            </w:r>
          </w:p>
        </w:tc>
        <w:tc>
          <w:tcPr>
            <w:tcW w:w="4678" w:type="dxa"/>
            <w:vAlign w:val="center"/>
          </w:tcPr>
          <w:p>
            <w:pPr>
              <w:adjustRightInd w:val="0"/>
              <w:snapToGrid w:val="0"/>
              <w:spacing w:line="288" w:lineRule="auto"/>
              <w:rPr>
                <w:rFonts w:ascii="宋体" w:hAnsi="宋体"/>
                <w:sz w:val="21"/>
                <w:szCs w:val="21"/>
                <w:highlight w:val="none"/>
              </w:rPr>
            </w:pPr>
            <w:r>
              <w:rPr>
                <w:rFonts w:hint="eastAsia" w:ascii="宋体" w:hAnsi="宋体" w:cs="宋体"/>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2</w:t>
            </w:r>
          </w:p>
        </w:tc>
        <w:tc>
          <w:tcPr>
            <w:tcW w:w="414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政府采购支持监狱企业发展</w:t>
            </w:r>
          </w:p>
        </w:tc>
        <w:tc>
          <w:tcPr>
            <w:tcW w:w="4678" w:type="dxa"/>
            <w:vAlign w:val="center"/>
          </w:tcPr>
          <w:p>
            <w:pPr>
              <w:adjustRightInd w:val="0"/>
              <w:snapToGrid w:val="0"/>
              <w:spacing w:line="288" w:lineRule="auto"/>
              <w:rPr>
                <w:rFonts w:ascii="宋体" w:hAnsi="宋体"/>
                <w:sz w:val="21"/>
                <w:szCs w:val="21"/>
                <w:highlight w:val="none"/>
              </w:rPr>
            </w:pPr>
            <w:r>
              <w:rPr>
                <w:rFonts w:hint="eastAsia" w:ascii="宋体" w:hAnsi="宋体" w:cs="宋体"/>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3</w:t>
            </w:r>
          </w:p>
        </w:tc>
        <w:tc>
          <w:tcPr>
            <w:tcW w:w="414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政府采购促进残疾人就业</w:t>
            </w:r>
          </w:p>
        </w:tc>
        <w:tc>
          <w:tcPr>
            <w:tcW w:w="4678" w:type="dxa"/>
            <w:vAlign w:val="center"/>
          </w:tcPr>
          <w:p>
            <w:pPr>
              <w:adjustRightInd w:val="0"/>
              <w:snapToGrid w:val="0"/>
              <w:spacing w:line="288" w:lineRule="auto"/>
              <w:rPr>
                <w:rFonts w:ascii="宋体" w:hAnsi="宋体"/>
                <w:sz w:val="21"/>
                <w:szCs w:val="21"/>
                <w:highlight w:val="none"/>
              </w:rPr>
            </w:pPr>
            <w:r>
              <w:rPr>
                <w:rFonts w:hint="eastAsia" w:ascii="宋体" w:hAnsi="宋体" w:cs="宋体"/>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4</w:t>
            </w:r>
          </w:p>
        </w:tc>
        <w:tc>
          <w:tcPr>
            <w:tcW w:w="414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政府强制采购节能产品</w:t>
            </w:r>
          </w:p>
        </w:tc>
        <w:tc>
          <w:tcPr>
            <w:tcW w:w="4678"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5</w:t>
            </w:r>
          </w:p>
        </w:tc>
        <w:tc>
          <w:tcPr>
            <w:tcW w:w="414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政府优先采购节能、环保产品</w:t>
            </w:r>
          </w:p>
        </w:tc>
        <w:tc>
          <w:tcPr>
            <w:tcW w:w="4678"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6</w:t>
            </w:r>
          </w:p>
        </w:tc>
        <w:tc>
          <w:tcPr>
            <w:tcW w:w="4140"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政府采购进口产品</w:t>
            </w:r>
          </w:p>
        </w:tc>
        <w:tc>
          <w:tcPr>
            <w:tcW w:w="4678" w:type="dxa"/>
            <w:vAlign w:val="center"/>
          </w:tcPr>
          <w:p>
            <w:pPr>
              <w:adjustRightInd w:val="0"/>
              <w:snapToGrid w:val="0"/>
              <w:spacing w:line="288" w:lineRule="auto"/>
              <w:jc w:val="center"/>
              <w:rPr>
                <w:rFonts w:ascii="宋体" w:hAnsi="宋体"/>
                <w:sz w:val="21"/>
                <w:szCs w:val="21"/>
                <w:highlight w:val="none"/>
              </w:rPr>
            </w:pPr>
            <w:r>
              <w:rPr>
                <w:rFonts w:hint="eastAsia" w:ascii="宋体" w:hAnsi="宋体" w:cs="宋体"/>
                <w:sz w:val="21"/>
                <w:szCs w:val="21"/>
                <w:highlight w:val="none"/>
              </w:rPr>
              <w:t>不允许采购进口产品</w:t>
            </w:r>
          </w:p>
        </w:tc>
      </w:tr>
    </w:tbl>
    <w:p>
      <w:pPr>
        <w:adjustRightInd w:val="0"/>
        <w:snapToGrid w:val="0"/>
        <w:spacing w:line="288" w:lineRule="auto"/>
        <w:rPr>
          <w:rFonts w:ascii="宋体" w:hAnsi="宋体"/>
          <w:sz w:val="21"/>
          <w:szCs w:val="21"/>
          <w:highlight w:val="none"/>
        </w:rPr>
      </w:pPr>
    </w:p>
    <w:p>
      <w:pPr>
        <w:adjustRightInd w:val="0"/>
        <w:snapToGrid w:val="0"/>
        <w:spacing w:line="288" w:lineRule="auto"/>
        <w:outlineLvl w:val="1"/>
        <w:rPr>
          <w:rFonts w:ascii="宋体" w:hAnsi="宋体"/>
          <w:b/>
          <w:sz w:val="21"/>
          <w:szCs w:val="21"/>
          <w:highlight w:val="none"/>
        </w:rPr>
      </w:pPr>
      <w:r>
        <w:rPr>
          <w:rFonts w:hint="eastAsia" w:ascii="宋体" w:hAnsi="宋体"/>
          <w:b/>
          <w:sz w:val="21"/>
          <w:szCs w:val="21"/>
          <w:highlight w:val="none"/>
        </w:rPr>
        <w:t>二</w:t>
      </w:r>
      <w:r>
        <w:rPr>
          <w:rFonts w:ascii="宋体" w:hAnsi="宋体"/>
          <w:b/>
          <w:sz w:val="21"/>
          <w:szCs w:val="21"/>
          <w:highlight w:val="none"/>
        </w:rPr>
        <w:t>、</w:t>
      </w:r>
      <w:r>
        <w:rPr>
          <w:rFonts w:hint="eastAsia" w:ascii="宋体" w:hAnsi="宋体"/>
          <w:b/>
          <w:sz w:val="21"/>
          <w:szCs w:val="21"/>
          <w:highlight w:val="none"/>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▲履约保证金</w:t>
            </w:r>
          </w:p>
        </w:tc>
        <w:tc>
          <w:tcPr>
            <w:tcW w:w="7655" w:type="dxa"/>
            <w:vAlign w:val="center"/>
          </w:tcPr>
          <w:p>
            <w:pPr>
              <w:adjustRightInd w:val="0"/>
              <w:snapToGrid w:val="0"/>
              <w:rPr>
                <w:rFonts w:ascii="宋体" w:hAnsi="宋体" w:cs="宋体"/>
                <w:spacing w:val="-6"/>
                <w:kern w:val="0"/>
                <w:sz w:val="21"/>
                <w:szCs w:val="21"/>
                <w:highlight w:val="none"/>
              </w:rPr>
            </w:pPr>
            <w:r>
              <w:rPr>
                <w:rFonts w:hint="eastAsia" w:ascii="宋体" w:hAnsi="宋体" w:cs="宋体"/>
                <w:spacing w:val="-6"/>
                <w:kern w:val="0"/>
                <w:sz w:val="21"/>
                <w:szCs w:val="21"/>
                <w:highlight w:val="none"/>
              </w:rPr>
              <w:t>1.合同签订后一周内，中标人向采购人提交合同价5%的履约保证金，履约保证金在项目竣工验收并提交完整的审计工作资料后，于10个工作日内退还（不计息）；</w:t>
            </w:r>
          </w:p>
          <w:p>
            <w:pPr>
              <w:adjustRightInd w:val="0"/>
              <w:snapToGrid w:val="0"/>
              <w:spacing w:line="288" w:lineRule="auto"/>
              <w:rPr>
                <w:rFonts w:ascii="宋体" w:hAnsi="宋体"/>
                <w:spacing w:val="-6"/>
                <w:sz w:val="21"/>
                <w:szCs w:val="21"/>
                <w:highlight w:val="none"/>
              </w:rPr>
            </w:pPr>
            <w:r>
              <w:rPr>
                <w:rFonts w:hint="eastAsia" w:ascii="宋体" w:hAnsi="宋体" w:cs="宋体"/>
                <w:spacing w:val="-6"/>
                <w:kern w:val="0"/>
                <w:sz w:val="21"/>
                <w:szCs w:val="21"/>
                <w:highlight w:val="none"/>
              </w:rPr>
              <w:t>2.提交方式：支票、汇票、本票或金融机构、担保机构出具的保函等非现金形式。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highlight w:val="none"/>
              </w:rPr>
            </w:pPr>
            <w:r>
              <w:rPr>
                <w:rFonts w:hint="eastAsia" w:ascii="宋体" w:hAnsi="宋体"/>
                <w:b/>
                <w:spacing w:val="-6"/>
                <w:sz w:val="21"/>
                <w:szCs w:val="21"/>
                <w:highlight w:val="none"/>
              </w:rPr>
              <w:t>▲付款方式</w:t>
            </w:r>
          </w:p>
        </w:tc>
        <w:tc>
          <w:tcPr>
            <w:tcW w:w="7655" w:type="dxa"/>
            <w:vAlign w:val="center"/>
          </w:tcPr>
          <w:p>
            <w:pPr>
              <w:adjustRightInd w:val="0"/>
              <w:snapToGrid w:val="0"/>
              <w:spacing w:line="288" w:lineRule="auto"/>
              <w:rPr>
                <w:rFonts w:ascii="宋体" w:hAnsi="宋体" w:cs="宋体"/>
                <w:spacing w:val="-6"/>
                <w:sz w:val="21"/>
                <w:szCs w:val="21"/>
                <w:highlight w:val="none"/>
              </w:rPr>
            </w:pPr>
            <w:r>
              <w:rPr>
                <w:rFonts w:hint="eastAsia" w:ascii="宋体" w:hAnsi="宋体" w:cs="宋体"/>
                <w:spacing w:val="-6"/>
                <w:sz w:val="21"/>
                <w:szCs w:val="21"/>
                <w:highlight w:val="none"/>
              </w:rPr>
              <w:t>采购合同签订后且中标供应商已提交履约保证金的，采购人向中标供应商支付合同价的30%，每年年末支付合同价的15%（累计不超过75%）；工程竣工验收后中标供应商提交完整的审计工作资料，于10个工作日内支付至合同价的90%；竣工结算审计完成后于10个工作日内支付合同价的10%。</w:t>
            </w:r>
          </w:p>
          <w:p>
            <w:pPr>
              <w:adjustRightInd w:val="0"/>
              <w:snapToGrid w:val="0"/>
              <w:spacing w:line="288" w:lineRule="auto"/>
              <w:rPr>
                <w:rFonts w:ascii="宋体" w:hAnsi="宋体"/>
                <w:spacing w:val="-6"/>
                <w:sz w:val="21"/>
                <w:szCs w:val="21"/>
                <w:highlight w:val="none"/>
              </w:rPr>
            </w:pPr>
            <w:r>
              <w:rPr>
                <w:rFonts w:hint="eastAsia" w:ascii="宋体" w:hAnsi="宋体" w:cs="宋体"/>
                <w:spacing w:val="-6"/>
                <w:sz w:val="21"/>
                <w:szCs w:val="21"/>
                <w:highlight w:val="none"/>
              </w:rPr>
              <w:t>若实际跟踪审计工作服务期超过计划服务期6个月以上（超期6个月服务费不做调整），按投标报价和计划服务期折算成每月费用与中标供应商另行结算。（注：如因亚运会原因工程停工，停工期间不计入服务期）</w:t>
            </w:r>
          </w:p>
        </w:tc>
      </w:tr>
    </w:tbl>
    <w:p>
      <w:pPr>
        <w:adjustRightInd w:val="0"/>
        <w:snapToGrid w:val="0"/>
        <w:spacing w:line="288" w:lineRule="auto"/>
        <w:ind w:left="238" w:hanging="238" w:hangingChars="113"/>
        <w:rPr>
          <w:rFonts w:ascii="宋体" w:hAnsi="宋体"/>
          <w:b/>
          <w:sz w:val="21"/>
          <w:szCs w:val="21"/>
          <w:highlight w:val="none"/>
        </w:rPr>
      </w:pPr>
    </w:p>
    <w:p>
      <w:pPr>
        <w:adjustRightInd w:val="0"/>
        <w:snapToGrid w:val="0"/>
        <w:spacing w:line="288" w:lineRule="auto"/>
        <w:ind w:left="238" w:hanging="238" w:hangingChars="113"/>
        <w:outlineLvl w:val="1"/>
        <w:rPr>
          <w:rFonts w:ascii="宋体" w:hAnsi="宋体"/>
          <w:b/>
          <w:sz w:val="21"/>
          <w:szCs w:val="21"/>
          <w:highlight w:val="none"/>
        </w:rPr>
      </w:pPr>
      <w:r>
        <w:rPr>
          <w:rFonts w:hint="eastAsia" w:ascii="宋体" w:hAnsi="宋体"/>
          <w:b/>
          <w:sz w:val="21"/>
          <w:szCs w:val="21"/>
          <w:highlight w:val="none"/>
        </w:rPr>
        <w:t>三</w:t>
      </w:r>
      <w:r>
        <w:rPr>
          <w:rFonts w:ascii="宋体" w:hAnsi="宋体"/>
          <w:b/>
          <w:sz w:val="21"/>
          <w:szCs w:val="21"/>
          <w:highlight w:val="none"/>
        </w:rPr>
        <w:t>、</w:t>
      </w:r>
      <w:r>
        <w:rPr>
          <w:rFonts w:hint="eastAsia" w:ascii="宋体" w:hAnsi="宋体"/>
          <w:b/>
          <w:sz w:val="21"/>
          <w:szCs w:val="21"/>
          <w:highlight w:val="none"/>
        </w:rPr>
        <w:t>服务</w:t>
      </w:r>
      <w:r>
        <w:rPr>
          <w:rFonts w:ascii="宋体" w:hAnsi="宋体"/>
          <w:b/>
          <w:sz w:val="21"/>
          <w:szCs w:val="21"/>
          <w:highlight w:val="none"/>
        </w:rPr>
        <w:t>要求</w:t>
      </w:r>
      <w:r>
        <w:rPr>
          <w:rFonts w:hint="eastAsia" w:ascii="宋体" w:hAnsi="宋体"/>
          <w:b/>
          <w:spacing w:val="-6"/>
          <w:sz w:val="21"/>
          <w:szCs w:val="21"/>
          <w:highlight w:val="none"/>
        </w:rPr>
        <w:t>（技术要求里另有注明的以技术要求为准）</w:t>
      </w:r>
      <w:r>
        <w:rPr>
          <w:rFonts w:ascii="宋体" w:hAnsi="宋体"/>
          <w:b/>
          <w:sz w:val="21"/>
          <w:szCs w:val="21"/>
          <w:highlight w:val="none"/>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服务时间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自合同签订开始，至跟踪审计工作结束。计划服务期36个月。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服务地点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采购人指定地点</w:t>
            </w:r>
          </w:p>
        </w:tc>
      </w:tr>
    </w:tbl>
    <w:p>
      <w:pPr>
        <w:adjustRightInd w:val="0"/>
        <w:snapToGrid w:val="0"/>
        <w:spacing w:line="288" w:lineRule="auto"/>
        <w:ind w:left="238" w:hanging="238" w:hangingChars="113"/>
        <w:rPr>
          <w:rFonts w:ascii="宋体" w:hAnsi="宋体"/>
          <w:b/>
          <w:sz w:val="21"/>
          <w:szCs w:val="21"/>
          <w:highlight w:val="none"/>
        </w:rPr>
      </w:pPr>
    </w:p>
    <w:p>
      <w:pPr>
        <w:adjustRightInd w:val="0"/>
        <w:snapToGrid w:val="0"/>
        <w:spacing w:line="288" w:lineRule="auto"/>
        <w:ind w:left="238" w:hanging="238" w:hangingChars="113"/>
        <w:outlineLvl w:val="1"/>
        <w:rPr>
          <w:rFonts w:ascii="宋体" w:hAnsi="宋体"/>
          <w:b/>
          <w:sz w:val="21"/>
          <w:szCs w:val="21"/>
          <w:highlight w:val="none"/>
        </w:rPr>
      </w:pPr>
      <w:r>
        <w:rPr>
          <w:rFonts w:hint="eastAsia" w:ascii="宋体" w:hAnsi="宋体"/>
          <w:b/>
          <w:sz w:val="21"/>
          <w:szCs w:val="21"/>
          <w:highlight w:val="none"/>
        </w:rPr>
        <w:t>四</w:t>
      </w:r>
      <w:r>
        <w:rPr>
          <w:rFonts w:ascii="宋体" w:hAnsi="宋体"/>
          <w:b/>
          <w:sz w:val="21"/>
          <w:szCs w:val="21"/>
          <w:highlight w:val="none"/>
        </w:rPr>
        <w:t>、技术要求</w:t>
      </w:r>
    </w:p>
    <w:p>
      <w:pPr>
        <w:adjustRightInd w:val="0"/>
        <w:snapToGrid w:val="0"/>
        <w:spacing w:line="288" w:lineRule="auto"/>
        <w:rPr>
          <w:rFonts w:ascii="宋体" w:hAnsi="宋体"/>
          <w:sz w:val="21"/>
          <w:szCs w:val="21"/>
          <w:highlight w:val="none"/>
        </w:rPr>
      </w:pPr>
      <w:r>
        <w:rPr>
          <w:rFonts w:hint="eastAsia" w:ascii="宋体" w:hAnsi="宋体"/>
          <w:b/>
          <w:bCs/>
          <w:sz w:val="21"/>
          <w:szCs w:val="21"/>
          <w:highlight w:val="none"/>
        </w:rPr>
        <w:t>1</w:t>
      </w:r>
      <w:r>
        <w:rPr>
          <w:rFonts w:ascii="宋体" w:hAnsi="宋体"/>
          <w:b/>
          <w:bCs/>
          <w:sz w:val="21"/>
          <w:szCs w:val="21"/>
          <w:highlight w:val="none"/>
        </w:rPr>
        <w:t>.</w:t>
      </w:r>
      <w:r>
        <w:rPr>
          <w:rFonts w:hint="eastAsia" w:ascii="宋体" w:hAnsi="宋体"/>
          <w:b/>
          <w:bCs/>
          <w:sz w:val="21"/>
          <w:szCs w:val="21"/>
          <w:highlight w:val="none"/>
        </w:rPr>
        <w:t>采购标的对应的中小企业划分标准所属行业：</w:t>
      </w:r>
      <w:r>
        <w:rPr>
          <w:rFonts w:hint="eastAsia" w:ascii="宋体" w:hAnsi="宋体"/>
          <w:sz w:val="21"/>
          <w:szCs w:val="21"/>
          <w:highlight w:val="none"/>
        </w:rPr>
        <w:t>其他未列明行业</w:t>
      </w:r>
    </w:p>
    <w:p>
      <w:pPr>
        <w:adjustRightInd w:val="0"/>
        <w:snapToGrid w:val="0"/>
        <w:spacing w:line="288" w:lineRule="auto"/>
        <w:rPr>
          <w:rFonts w:ascii="宋体" w:hAnsi="宋体"/>
          <w:sz w:val="21"/>
          <w:szCs w:val="21"/>
          <w:highlight w:val="none"/>
        </w:rPr>
      </w:pPr>
      <w:r>
        <w:rPr>
          <w:rFonts w:hint="eastAsia" w:ascii="宋体" w:hAnsi="宋体"/>
          <w:sz w:val="21"/>
          <w:szCs w:val="21"/>
          <w:highlight w:val="none"/>
        </w:rPr>
        <w:t>中小企业划型标准：</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从业人员300人以下的为中小微型企业。其中，从业人员100人及以上的为中型企业；从业人员10人及以上的为小型企业；从业人员10人以下的为微型企业。</w:t>
      </w:r>
    </w:p>
    <w:p>
      <w:pPr>
        <w:adjustRightInd w:val="0"/>
        <w:snapToGrid w:val="0"/>
        <w:spacing w:line="288" w:lineRule="auto"/>
        <w:rPr>
          <w:rFonts w:ascii="宋体" w:hAnsi="宋体"/>
          <w:b/>
          <w:bCs/>
          <w:sz w:val="21"/>
          <w:szCs w:val="21"/>
          <w:highlight w:val="none"/>
        </w:rPr>
      </w:pPr>
      <w:r>
        <w:rPr>
          <w:rFonts w:hint="eastAsia" w:ascii="宋体" w:hAnsi="宋体"/>
          <w:b/>
          <w:bCs/>
          <w:sz w:val="21"/>
          <w:szCs w:val="21"/>
          <w:highlight w:val="none"/>
        </w:rPr>
        <w:t>2.项目概况：</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（1）工程概况及建设规模</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浙大城市学院改扩建项目位于学院南校区，建设内容包括学生公寓、医学院实验中心、实验综合楼以及绿化道路等室外工程，总建筑面积94908平方米，总投资额5.15亿元。项目采用EPC总承包模式。</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（2）主要服务内容</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跟踪审计针对建设项目从设计到竣工验收各阶段经济管理活动的真实性、合法性、效益性进行监督和评价。具体服务内容主要包括但不限于：</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a.对建设工程概算进行审计咨询（不单独编制概算，只针对建设管理部门初步定稿的概算等送审资料发表意见建议）；</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b.招标文件和合同的审计咨询，主要指EPC总承包单位、监理以及设备和材料采购等各种招标文件及其相应合同的审计咨询； 其中，对EPC总承包单位的招标文件审计咨询包括对工程量清单、招标控制价等送审资料发表意见建议（不单独编制工程量清单和招标控制价）；</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c.总承包施工图深化部分的审计咨询；</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d.投标报价分析；</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 xml:space="preserve">e.变更联系单的审计咨询，主要指涉及费用变动的变更联系单(包括承发包双方提出的工程索赔)均应进行审计咨询； </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f.工程进度款支付的审计咨询；</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g.隐蔽工程的审计；</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h.涉及学校建设管理部门内部控制运行的事项审计；</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i.协助做好竣工结算审计工作。</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3、跟踪审计工作要求：</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(1)审计实施前，配合审计组组长编制跟踪审计实施方案；</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（2）审计实施过程中，编制审计意见工作底稿、每月工作月报和年度工作报告；</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（3）审计终结时，出具审计综合报告；</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（4）驻场要求：要求至少有一名人员常驻现场，驻场工作时间为工作日及根据现场施工需要；</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（5）需参加工程例会（暂定每周一次）；</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（6）委托人要求的其他审计咨询服务。</w:t>
      </w:r>
    </w:p>
    <w:p>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4、基本要求：</w:t>
      </w:r>
    </w:p>
    <w:p>
      <w:pPr>
        <w:adjustRightInd w:val="0"/>
        <w:snapToGrid w:val="0"/>
        <w:spacing w:line="288" w:lineRule="auto"/>
        <w:ind w:firstLine="420" w:firstLineChars="200"/>
        <w:jc w:val="left"/>
        <w:rPr>
          <w:rFonts w:ascii="宋体" w:hAnsi="宋体"/>
          <w:sz w:val="21"/>
          <w:szCs w:val="21"/>
          <w:highlight w:val="none"/>
        </w:rPr>
      </w:pPr>
      <w:r>
        <w:rPr>
          <w:rFonts w:hint="eastAsia" w:ascii="宋体" w:hAnsi="宋体"/>
          <w:sz w:val="21"/>
          <w:szCs w:val="21"/>
          <w:highlight w:val="none"/>
        </w:rPr>
        <w:t>(1)拟派审计服务负责人应具备住建部颁发的一级造价工程师注册证书；</w:t>
      </w:r>
    </w:p>
    <w:p>
      <w:pPr>
        <w:adjustRightInd w:val="0"/>
        <w:snapToGrid w:val="0"/>
        <w:spacing w:line="288" w:lineRule="auto"/>
        <w:ind w:firstLine="420" w:firstLineChars="200"/>
        <w:jc w:val="left"/>
        <w:rPr>
          <w:rFonts w:ascii="宋体" w:hAnsi="宋体"/>
          <w:sz w:val="21"/>
          <w:szCs w:val="21"/>
          <w:highlight w:val="none"/>
        </w:rPr>
      </w:pPr>
      <w:r>
        <w:rPr>
          <w:rFonts w:hint="eastAsia" w:ascii="宋体" w:hAnsi="宋体"/>
          <w:sz w:val="21"/>
          <w:szCs w:val="21"/>
          <w:highlight w:val="none"/>
        </w:rPr>
        <w:t>（2）拟派审计服务人员注册造价工程师(包括一级、二级)数量、专业分配能满足本项目服务要求；</w:t>
      </w:r>
    </w:p>
    <w:p>
      <w:pPr>
        <w:adjustRightInd w:val="0"/>
        <w:snapToGrid w:val="0"/>
        <w:spacing w:line="288" w:lineRule="auto"/>
        <w:ind w:firstLine="420" w:firstLineChars="200"/>
        <w:jc w:val="left"/>
        <w:rPr>
          <w:rFonts w:ascii="宋体" w:hAnsi="宋体"/>
          <w:sz w:val="21"/>
          <w:szCs w:val="21"/>
          <w:highlight w:val="none"/>
        </w:rPr>
      </w:pPr>
      <w:r>
        <w:rPr>
          <w:rFonts w:hint="eastAsia" w:ascii="宋体" w:hAnsi="宋体"/>
          <w:sz w:val="21"/>
          <w:szCs w:val="21"/>
          <w:highlight w:val="none"/>
        </w:rPr>
        <w:t>(3)拟派审计服务人员应与其响应文件上提供的人员名单一致；若要进行调整，须经采购人书面同意；</w:t>
      </w:r>
    </w:p>
    <w:p>
      <w:pPr>
        <w:adjustRightInd w:val="0"/>
        <w:snapToGrid w:val="0"/>
        <w:spacing w:line="288" w:lineRule="auto"/>
        <w:ind w:firstLine="420" w:firstLineChars="200"/>
        <w:jc w:val="left"/>
        <w:rPr>
          <w:rFonts w:ascii="宋体" w:hAnsi="宋体"/>
          <w:sz w:val="21"/>
          <w:szCs w:val="21"/>
          <w:highlight w:val="none"/>
        </w:rPr>
      </w:pPr>
      <w:r>
        <w:rPr>
          <w:rFonts w:hint="eastAsia" w:ascii="宋体" w:hAnsi="宋体"/>
          <w:sz w:val="21"/>
          <w:szCs w:val="21"/>
          <w:highlight w:val="none"/>
        </w:rPr>
        <w:t>（4）保证审计服务质量，在出现法律纠纷需要鉴证时无原则过错。</w:t>
      </w:r>
    </w:p>
    <w:p>
      <w:pPr>
        <w:adjustRightInd w:val="0"/>
        <w:snapToGrid w:val="0"/>
        <w:spacing w:line="288" w:lineRule="auto"/>
        <w:ind w:firstLine="422" w:firstLineChars="200"/>
        <w:jc w:val="left"/>
        <w:rPr>
          <w:rFonts w:ascii="宋体" w:hAnsi="宋体"/>
          <w:b/>
          <w:bCs/>
          <w:sz w:val="21"/>
          <w:szCs w:val="21"/>
          <w:highlight w:val="none"/>
        </w:rPr>
      </w:pPr>
    </w:p>
    <w:p>
      <w:pPr>
        <w:adjustRightInd w:val="0"/>
        <w:snapToGrid w:val="0"/>
        <w:spacing w:line="288" w:lineRule="auto"/>
        <w:rPr>
          <w:rFonts w:ascii="宋体" w:hAnsi="宋体"/>
          <w:b/>
          <w:sz w:val="21"/>
          <w:szCs w:val="21"/>
          <w:highlight w:val="none"/>
        </w:rPr>
      </w:pPr>
    </w:p>
    <w:p>
      <w:r>
        <w:rPr>
          <w:rFonts w:ascii="宋体" w:hAnsi="宋体"/>
          <w:sz w:val="21"/>
          <w:szCs w:val="21"/>
          <w:highlight w:val="none"/>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63A69"/>
    <w:rsid w:val="4EE6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2021-07-02T08:59:00Z</dcterms:created>
  <dc:creator>Jody</dc:creator>
  <lastModifiedBy>Jody</lastModifiedBy>
  <dcterms:modified xsi:type="dcterms:W3CDTF">2021-07-02T08:59:18Z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AFB604A195AB4258870ED9220E14C557</vt:lpwstr>
  </property>
</Properties>
</file>